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1A069E" w14:textId="03511C1F" w:rsidR="00FE53CF" w:rsidRPr="0015722A" w:rsidRDefault="00FE53CF" w:rsidP="00FE53CF">
      <w:pPr>
        <w:pStyle w:val="3GPPHeader"/>
      </w:pPr>
      <w:bookmarkStart w:id="0" w:name="_Hlk486420945"/>
      <w:bookmarkEnd w:id="0"/>
      <w:r w:rsidRPr="00327997">
        <w:t>3GPP TSG-RAN WG1</w:t>
      </w:r>
      <w:r w:rsidR="0085744E">
        <w:t>#90</w:t>
      </w:r>
      <w:r w:rsidRPr="00327997">
        <w:tab/>
      </w:r>
      <w:r w:rsidR="00EC676C" w:rsidRPr="00EC676C">
        <w:t>R1-1712625</w:t>
      </w:r>
    </w:p>
    <w:p w14:paraId="787CD381" w14:textId="63FFC259" w:rsidR="00FE53CF" w:rsidRDefault="0094385C" w:rsidP="00FE53CF">
      <w:pPr>
        <w:pStyle w:val="3GPPHeader"/>
      </w:pPr>
      <w:r>
        <w:t>Prague</w:t>
      </w:r>
      <w:r w:rsidR="00FE53CF">
        <w:t xml:space="preserve">, </w:t>
      </w:r>
      <w:r>
        <w:t>Czech Republic</w:t>
      </w:r>
      <w:r w:rsidR="00FE53CF" w:rsidRPr="009C6832">
        <w:t xml:space="preserve">, </w:t>
      </w:r>
      <w:r w:rsidR="001645BE">
        <w:t>21</w:t>
      </w:r>
      <w:r w:rsidR="00FE53CF" w:rsidRPr="00A85C6C">
        <w:rPr>
          <w:vertAlign w:val="superscript"/>
        </w:rPr>
        <w:t>th</w:t>
      </w:r>
      <w:r w:rsidR="00FE53CF">
        <w:t xml:space="preserve"> </w:t>
      </w:r>
      <w:r w:rsidR="00FE53CF" w:rsidRPr="009C6832">
        <w:t xml:space="preserve">– </w:t>
      </w:r>
      <w:r w:rsidR="001645BE">
        <w:t>25</w:t>
      </w:r>
      <w:r w:rsidR="00FE53CF" w:rsidRPr="00A85C6C">
        <w:rPr>
          <w:vertAlign w:val="superscript"/>
        </w:rPr>
        <w:t>th</w:t>
      </w:r>
      <w:r w:rsidR="00D86027">
        <w:t xml:space="preserve"> </w:t>
      </w:r>
      <w:r>
        <w:t>Aug</w:t>
      </w:r>
      <w:r w:rsidR="00FE53CF" w:rsidRPr="009C6832">
        <w:t>, 20</w:t>
      </w:r>
      <w:r w:rsidR="00FE53CF">
        <w:t>17</w:t>
      </w:r>
    </w:p>
    <w:p w14:paraId="67CB0295" w14:textId="77777777" w:rsidR="00FE53CF" w:rsidRPr="00CE0424" w:rsidRDefault="00FE53CF" w:rsidP="00FE53CF">
      <w:pPr>
        <w:pStyle w:val="3GPPHeader"/>
      </w:pPr>
    </w:p>
    <w:p w14:paraId="722EFEBE" w14:textId="77777777" w:rsidR="00FE53CF" w:rsidRPr="00327997" w:rsidRDefault="00FE53CF" w:rsidP="00FE53CF">
      <w:pPr>
        <w:pStyle w:val="3GPPHeader"/>
      </w:pPr>
      <w:r w:rsidRPr="00327997">
        <w:t>Source:</w:t>
      </w:r>
      <w:r w:rsidRPr="00327997">
        <w:tab/>
        <w:t>Ericsson</w:t>
      </w:r>
    </w:p>
    <w:p w14:paraId="0FEFBF74" w14:textId="222472F9" w:rsidR="00FE53CF" w:rsidRPr="00267B56" w:rsidRDefault="00FE53CF" w:rsidP="00FE53CF">
      <w:pPr>
        <w:pStyle w:val="3GPPHeader"/>
      </w:pPr>
      <w:r w:rsidRPr="00267B56">
        <w:t>Title:</w:t>
      </w:r>
      <w:r w:rsidRPr="00267B56">
        <w:tab/>
      </w:r>
      <w:r w:rsidR="00784DAA">
        <w:t>Narrowband measurement accuracy improvements</w:t>
      </w:r>
    </w:p>
    <w:p w14:paraId="7B908580" w14:textId="64E3BA94" w:rsidR="00FE53CF" w:rsidRPr="00EC676C" w:rsidRDefault="00FE53CF" w:rsidP="00FE53CF">
      <w:pPr>
        <w:pStyle w:val="3GPPHeader"/>
        <w:rPr>
          <w:lang w:val="en-US"/>
        </w:rPr>
      </w:pPr>
      <w:r w:rsidRPr="00EC676C">
        <w:rPr>
          <w:lang w:val="en-US"/>
        </w:rPr>
        <w:t>Agenda Item:</w:t>
      </w:r>
      <w:r w:rsidRPr="00EC676C">
        <w:rPr>
          <w:lang w:val="en-US"/>
        </w:rPr>
        <w:tab/>
      </w:r>
      <w:r w:rsidR="0094385C" w:rsidRPr="00EC676C">
        <w:rPr>
          <w:lang w:val="en-US"/>
        </w:rPr>
        <w:t>5.2.7.2</w:t>
      </w:r>
    </w:p>
    <w:p w14:paraId="725E80D3" w14:textId="77777777" w:rsidR="00FE53CF" w:rsidRPr="00CE0424" w:rsidRDefault="00FE53CF" w:rsidP="00FE53CF">
      <w:pPr>
        <w:pStyle w:val="3GPPHeader"/>
      </w:pPr>
      <w:r w:rsidRPr="00327997">
        <w:t>Document for:</w:t>
      </w:r>
      <w:r w:rsidRPr="00327997">
        <w:tab/>
      </w:r>
      <w:r>
        <w:t>Discussion and</w:t>
      </w:r>
      <w:r w:rsidRPr="009C6832">
        <w:t xml:space="preserve"> Decision</w:t>
      </w:r>
    </w:p>
    <w:p w14:paraId="70A1F976" w14:textId="77777777" w:rsidR="00E90E49" w:rsidRPr="00CE0424" w:rsidRDefault="007F75D5" w:rsidP="00CE0424">
      <w:pPr>
        <w:pStyle w:val="Heading1"/>
      </w:pPr>
      <w:r>
        <w:t>Introduction</w:t>
      </w:r>
    </w:p>
    <w:p w14:paraId="46E6DEC5" w14:textId="2AAC7AB6" w:rsidR="00FE53CF" w:rsidRDefault="00FE53CF" w:rsidP="00FE53CF">
      <w:pPr>
        <w:spacing w:after="0"/>
      </w:pPr>
      <w:bookmarkStart w:id="1" w:name="_Ref178064866"/>
      <w:r>
        <w:t>The objective of the work item</w:t>
      </w:r>
      <w:r w:rsidR="005B6507">
        <w:t xml:space="preserve"> on further enhanced NB-IoT</w:t>
      </w:r>
      <w:r>
        <w:t xml:space="preserve"> </w:t>
      </w:r>
      <w:r w:rsidRPr="007935B0">
        <w:rPr>
          <w:bCs/>
        </w:rPr>
        <w:t xml:space="preserve">is </w:t>
      </w:r>
      <w:r>
        <w:rPr>
          <w:bCs/>
        </w:rPr>
        <w:t xml:space="preserve">to introduce further support of enhanced </w:t>
      </w:r>
      <w:r w:rsidRPr="002E5F52">
        <w:t>features</w:t>
      </w:r>
      <w:r>
        <w:t xml:space="preserve"> for NB-IoT</w:t>
      </w:r>
      <w:r w:rsidRPr="002E5F52">
        <w:t>, supporting standalone, guard-band, and in-band operation modes.</w:t>
      </w:r>
      <w:r>
        <w:t xml:space="preserve"> One objective is to study</w:t>
      </w:r>
      <w:r w:rsidR="001B7402">
        <w:t>, and if found necessary improve,</w:t>
      </w:r>
      <w:r>
        <w:t xml:space="preserve"> </w:t>
      </w:r>
      <w:r w:rsidRPr="008F55BD">
        <w:t>NPRACH reliability and range enhancements</w:t>
      </w:r>
      <w:r>
        <w:t xml:space="preserve"> as listed below.</w:t>
      </w:r>
    </w:p>
    <w:p w14:paraId="21FCFC31" w14:textId="77777777" w:rsidR="00FE53CF" w:rsidRPr="006B15ED" w:rsidRDefault="00FE53CF" w:rsidP="00FE53CF">
      <w:pPr>
        <w:spacing w:after="0"/>
        <w:rPr>
          <w:rFonts w:eastAsia="MS Mincho"/>
          <w:bCs/>
          <w:lang w:eastAsia="en-US"/>
        </w:rPr>
      </w:pPr>
    </w:p>
    <w:p w14:paraId="0163A85D" w14:textId="77777777" w:rsidR="00FE53CF" w:rsidRDefault="00FE53CF" w:rsidP="00FE53CF">
      <w:pPr>
        <w:pStyle w:val="BodyText"/>
      </w:pPr>
      <w:bookmarkStart w:id="2" w:name="_GoBack"/>
      <w:r>
        <w:rPr>
          <w:noProof/>
          <w:lang w:val="en-US"/>
        </w:rPr>
        <mc:AlternateContent>
          <mc:Choice Requires="wps">
            <w:drawing>
              <wp:inline distT="0" distB="0" distL="0" distR="0" wp14:anchorId="047B4E0A" wp14:editId="096D914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6907F11" w14:textId="77777777" w:rsidR="00784DAA" w:rsidRPr="00784DAA" w:rsidRDefault="00784DAA" w:rsidP="00784DAA">
                            <w:pPr>
                              <w:spacing w:after="0"/>
                              <w:rPr>
                                <w:b/>
                                <w:bCs/>
                                <w:i/>
                                <w:u w:val="single"/>
                              </w:rPr>
                            </w:pPr>
                            <w:r w:rsidRPr="00784DAA">
                              <w:rPr>
                                <w:b/>
                                <w:bCs/>
                                <w:i/>
                                <w:u w:val="single"/>
                              </w:rPr>
                              <w:t>Narrowband measurement accuracy improvements [RAN1, RAN4, RAN2]</w:t>
                            </w:r>
                          </w:p>
                          <w:p w14:paraId="35DB8005" w14:textId="696BB18C" w:rsidR="00EC06B7" w:rsidRPr="00784DAA" w:rsidRDefault="00784DAA" w:rsidP="00784DAA">
                            <w:pPr>
                              <w:numPr>
                                <w:ilvl w:val="0"/>
                                <w:numId w:val="15"/>
                              </w:numPr>
                              <w:spacing w:after="0"/>
                              <w:jc w:val="left"/>
                              <w:rPr>
                                <w:bCs/>
                                <w:i/>
                              </w:rPr>
                            </w:pPr>
                            <w:r w:rsidRPr="00784DAA">
                              <w:rPr>
                                <w:bCs/>
                                <w:i/>
                              </w:rPr>
                              <w:t>Evaluate and if appropriate specify use of additional existing signals than NRS for RRM measurements, with associated RAN4 core requirements taking into account e.g. UE complexity, power consumption, system capacity.</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47B4E0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6907F11" w14:textId="77777777" w:rsidR="00784DAA" w:rsidRPr="00784DAA" w:rsidRDefault="00784DAA" w:rsidP="00784DAA">
                      <w:pPr>
                        <w:spacing w:after="0"/>
                        <w:rPr>
                          <w:b/>
                          <w:bCs/>
                          <w:i/>
                          <w:u w:val="single"/>
                        </w:rPr>
                      </w:pPr>
                      <w:r w:rsidRPr="00784DAA">
                        <w:rPr>
                          <w:b/>
                          <w:bCs/>
                          <w:i/>
                          <w:u w:val="single"/>
                        </w:rPr>
                        <w:t>Narrowband measurement accuracy improvements [RAN1, RAN4, RAN2]</w:t>
                      </w:r>
                    </w:p>
                    <w:p w14:paraId="35DB8005" w14:textId="696BB18C" w:rsidR="00EC06B7" w:rsidRPr="00784DAA" w:rsidRDefault="00784DAA" w:rsidP="00784DAA">
                      <w:pPr>
                        <w:numPr>
                          <w:ilvl w:val="0"/>
                          <w:numId w:val="15"/>
                        </w:numPr>
                        <w:spacing w:after="0"/>
                        <w:jc w:val="left"/>
                        <w:rPr>
                          <w:bCs/>
                          <w:i/>
                        </w:rPr>
                      </w:pPr>
                      <w:r w:rsidRPr="00784DAA">
                        <w:rPr>
                          <w:bCs/>
                          <w:i/>
                        </w:rPr>
                        <w:t>Evaluate and if appropriate specify use of additional existing signals than NRS for RRM measurements, with associated RAN4 core requirements taking into account e.g. UE complexity, power consumption, system capacity.</w:t>
                      </w:r>
                    </w:p>
                  </w:txbxContent>
                </v:textbox>
                <w10:anchorlock/>
              </v:shape>
            </w:pict>
          </mc:Fallback>
        </mc:AlternateContent>
      </w:r>
      <w:bookmarkEnd w:id="2"/>
    </w:p>
    <w:p w14:paraId="673EB2FA" w14:textId="4F3FF92D" w:rsidR="00FE53CF" w:rsidRDefault="001645BE" w:rsidP="00FE53CF">
      <w:pPr>
        <w:pStyle w:val="BodyText"/>
      </w:pPr>
      <w:r>
        <w:t>In RAN1#89</w:t>
      </w:r>
      <w:r w:rsidR="00FE53CF">
        <w:t xml:space="preserve">, </w:t>
      </w:r>
      <w:r>
        <w:t>the following agreements were made</w:t>
      </w:r>
      <w:r w:rsidR="001B7402">
        <w:t xml:space="preserve"> with regards to </w:t>
      </w:r>
      <w:r w:rsidR="00784DAA">
        <w:t>measurement accuracy improvements</w:t>
      </w:r>
      <w:r w:rsidR="001B7402">
        <w:t>:</w:t>
      </w:r>
      <w:r w:rsidR="00FE53CF">
        <w:t xml:space="preserve"> </w:t>
      </w:r>
    </w:p>
    <w:p w14:paraId="5237AAB2" w14:textId="77777777" w:rsidR="00784DAA" w:rsidRPr="00784DAA" w:rsidRDefault="00784DAA" w:rsidP="00784DAA">
      <w:pPr>
        <w:numPr>
          <w:ilvl w:val="0"/>
          <w:numId w:val="41"/>
        </w:numPr>
        <w:overflowPunct/>
        <w:autoSpaceDE/>
        <w:autoSpaceDN/>
        <w:adjustRightInd/>
        <w:spacing w:after="0"/>
        <w:jc w:val="left"/>
        <w:textAlignment w:val="auto"/>
        <w:rPr>
          <w:rFonts w:eastAsia="MS Mincho"/>
          <w:i/>
          <w:lang w:eastAsia="ja-JP"/>
        </w:rPr>
      </w:pPr>
      <w:r w:rsidRPr="00784DAA">
        <w:rPr>
          <w:rFonts w:eastAsia="MS Mincho"/>
          <w:i/>
          <w:lang w:eastAsia="ja-JP"/>
        </w:rPr>
        <w:t>For connected mode in the serving cell and idle mode in camped cell and neighbour cells, it is feasible from RAN1 point of view to use NSSS on an anchor carrier for RRM measurement</w:t>
      </w:r>
    </w:p>
    <w:p w14:paraId="3C9C602E" w14:textId="60B0A01B" w:rsidR="00784DAA" w:rsidRPr="00784DAA" w:rsidRDefault="00784DAA" w:rsidP="00784DAA">
      <w:pPr>
        <w:numPr>
          <w:ilvl w:val="1"/>
          <w:numId w:val="41"/>
        </w:numPr>
        <w:overflowPunct/>
        <w:autoSpaceDE/>
        <w:autoSpaceDN/>
        <w:adjustRightInd/>
        <w:spacing w:after="0"/>
        <w:jc w:val="left"/>
        <w:textAlignment w:val="auto"/>
        <w:rPr>
          <w:rFonts w:eastAsia="MS Mincho"/>
          <w:i/>
          <w:lang w:eastAsia="ja-JP"/>
        </w:rPr>
      </w:pPr>
      <w:r w:rsidRPr="00784DAA">
        <w:rPr>
          <w:rFonts w:eastAsia="MS Mincho"/>
          <w:i/>
          <w:lang w:eastAsia="ja-JP"/>
        </w:rPr>
        <w:t>RAN4 are requested to consider if NSSS is a suitable transmission</w:t>
      </w:r>
    </w:p>
    <w:p w14:paraId="5622A5AB" w14:textId="77777777" w:rsidR="00784DAA" w:rsidRPr="00784DAA" w:rsidRDefault="00784DAA" w:rsidP="00784DAA">
      <w:pPr>
        <w:numPr>
          <w:ilvl w:val="1"/>
          <w:numId w:val="41"/>
        </w:numPr>
        <w:overflowPunct/>
        <w:autoSpaceDE/>
        <w:autoSpaceDN/>
        <w:adjustRightInd/>
        <w:spacing w:after="0"/>
        <w:jc w:val="left"/>
        <w:textAlignment w:val="auto"/>
        <w:rPr>
          <w:rFonts w:eastAsia="MS Mincho"/>
          <w:i/>
          <w:lang w:eastAsia="ja-JP"/>
        </w:rPr>
      </w:pPr>
      <w:r w:rsidRPr="00784DAA">
        <w:rPr>
          <w:rFonts w:eastAsia="MS Mincho"/>
          <w:i/>
          <w:lang w:eastAsia="ja-JP"/>
        </w:rPr>
        <w:t>How to use, i.e. if and/or under what circumstances to combine NRS with NSSS depend on RAN4 study</w:t>
      </w:r>
    </w:p>
    <w:p w14:paraId="0A3A6C9D" w14:textId="77777777" w:rsidR="00784DAA" w:rsidRPr="00784DAA" w:rsidRDefault="00784DAA" w:rsidP="00784DAA">
      <w:pPr>
        <w:numPr>
          <w:ilvl w:val="1"/>
          <w:numId w:val="41"/>
        </w:numPr>
        <w:overflowPunct/>
        <w:autoSpaceDE/>
        <w:autoSpaceDN/>
        <w:adjustRightInd/>
        <w:spacing w:after="0"/>
        <w:jc w:val="left"/>
        <w:textAlignment w:val="auto"/>
        <w:rPr>
          <w:rFonts w:eastAsia="MS Mincho"/>
          <w:i/>
          <w:lang w:eastAsia="ja-JP"/>
        </w:rPr>
      </w:pPr>
      <w:r w:rsidRPr="00784DAA">
        <w:rPr>
          <w:rFonts w:eastAsia="MS Mincho"/>
          <w:i/>
          <w:lang w:eastAsia="ja-JP"/>
        </w:rPr>
        <w:t>Send an LS containing the above to RAN4, including the agreement from RAN1#88bis that “At least NSSS is used additionally to NRS for in-band, guard-band, standalone”</w:t>
      </w:r>
    </w:p>
    <w:p w14:paraId="7E656E31" w14:textId="77777777" w:rsidR="00784DAA" w:rsidRPr="00784DAA" w:rsidRDefault="00784DAA" w:rsidP="00784DAA">
      <w:pPr>
        <w:numPr>
          <w:ilvl w:val="0"/>
          <w:numId w:val="41"/>
        </w:numPr>
        <w:overflowPunct/>
        <w:autoSpaceDE/>
        <w:autoSpaceDN/>
        <w:adjustRightInd/>
        <w:spacing w:after="0"/>
        <w:jc w:val="left"/>
        <w:textAlignment w:val="auto"/>
        <w:rPr>
          <w:rFonts w:eastAsia="MS Mincho"/>
          <w:i/>
          <w:lang w:eastAsia="ja-JP"/>
        </w:rPr>
      </w:pPr>
      <w:r w:rsidRPr="00784DAA">
        <w:rPr>
          <w:rFonts w:eastAsia="MS Mincho"/>
          <w:i/>
          <w:lang w:eastAsia="ja-JP"/>
        </w:rPr>
        <w:t>Continue to study</w:t>
      </w:r>
    </w:p>
    <w:p w14:paraId="14413F9F" w14:textId="77777777" w:rsidR="00784DAA" w:rsidRPr="00784DAA" w:rsidRDefault="00784DAA" w:rsidP="00784DAA">
      <w:pPr>
        <w:numPr>
          <w:ilvl w:val="1"/>
          <w:numId w:val="41"/>
        </w:numPr>
        <w:overflowPunct/>
        <w:autoSpaceDE/>
        <w:autoSpaceDN/>
        <w:adjustRightInd/>
        <w:spacing w:after="0"/>
        <w:jc w:val="left"/>
        <w:textAlignment w:val="auto"/>
        <w:rPr>
          <w:rFonts w:eastAsia="MS Mincho"/>
          <w:i/>
          <w:lang w:eastAsia="ja-JP"/>
        </w:rPr>
      </w:pPr>
      <w:r w:rsidRPr="00784DAA">
        <w:rPr>
          <w:rFonts w:eastAsia="MS Mincho"/>
          <w:i/>
          <w:lang w:eastAsia="ja-JP"/>
        </w:rPr>
        <w:t>CRS for in-band operation mode</w:t>
      </w:r>
    </w:p>
    <w:p w14:paraId="263266F1" w14:textId="6D00F231" w:rsidR="00784DAA" w:rsidRPr="00784DAA" w:rsidRDefault="00784DAA" w:rsidP="00784DAA">
      <w:pPr>
        <w:numPr>
          <w:ilvl w:val="1"/>
          <w:numId w:val="41"/>
        </w:numPr>
        <w:overflowPunct/>
        <w:autoSpaceDE/>
        <w:autoSpaceDN/>
        <w:adjustRightInd/>
        <w:spacing w:after="0"/>
        <w:jc w:val="left"/>
        <w:textAlignment w:val="auto"/>
        <w:rPr>
          <w:rFonts w:eastAsia="MS Mincho"/>
          <w:i/>
          <w:lang w:eastAsia="ja-JP"/>
        </w:rPr>
      </w:pPr>
      <w:r w:rsidRPr="00784DAA">
        <w:rPr>
          <w:rFonts w:eastAsia="MS Mincho"/>
          <w:i/>
          <w:lang w:eastAsia="ja-JP"/>
        </w:rPr>
        <w:t>NPBCH, NPDCCH, NPDSCH on an anchor carrier in the serving cell</w:t>
      </w:r>
    </w:p>
    <w:p w14:paraId="5858374A" w14:textId="77777777" w:rsidR="00784DAA" w:rsidRPr="00975C58" w:rsidRDefault="00784DAA" w:rsidP="00784DAA">
      <w:pPr>
        <w:overflowPunct/>
        <w:autoSpaceDE/>
        <w:autoSpaceDN/>
        <w:adjustRightInd/>
        <w:spacing w:after="0"/>
        <w:ind w:left="1440"/>
        <w:jc w:val="left"/>
        <w:textAlignment w:val="auto"/>
        <w:rPr>
          <w:rFonts w:eastAsia="MS Mincho"/>
          <w:lang w:eastAsia="ja-JP"/>
        </w:rPr>
      </w:pPr>
    </w:p>
    <w:p w14:paraId="08AD895C" w14:textId="23497B6A" w:rsidR="00FE53CF" w:rsidRPr="00CE0424" w:rsidRDefault="00FE53CF" w:rsidP="00731228">
      <w:pPr>
        <w:pStyle w:val="BodyText"/>
      </w:pPr>
      <w:r>
        <w:t xml:space="preserve">In this contribution, we </w:t>
      </w:r>
      <w:r w:rsidRPr="00731228">
        <w:t xml:space="preserve">present our views on </w:t>
      </w:r>
      <w:r w:rsidR="00784DAA">
        <w:t xml:space="preserve">the suitability to use CRS for </w:t>
      </w:r>
      <w:r w:rsidR="003F3DC5">
        <w:t>measurements</w:t>
      </w:r>
      <w:r w:rsidR="00784DAA">
        <w:t xml:space="preserve"> and on </w:t>
      </w:r>
      <w:r w:rsidR="0094385C">
        <w:t xml:space="preserve">the gains from and </w:t>
      </w:r>
      <w:r w:rsidR="00784DAA">
        <w:t xml:space="preserve">ability to improve connected mode </w:t>
      </w:r>
      <w:r w:rsidR="003F3DC5">
        <w:t>measurements using the NPBCH, NPDCCH and NPDSCH</w:t>
      </w:r>
      <w:r w:rsidR="00784DAA">
        <w:t>.</w:t>
      </w:r>
    </w:p>
    <w:bookmarkEnd w:id="1"/>
    <w:p w14:paraId="53EF906F" w14:textId="6F84C111" w:rsidR="004000E8" w:rsidRDefault="0045224B" w:rsidP="00CE0424">
      <w:pPr>
        <w:pStyle w:val="Heading1"/>
      </w:pPr>
      <w:r>
        <w:t>Discussion</w:t>
      </w:r>
    </w:p>
    <w:p w14:paraId="3DEFA46A" w14:textId="0EA8074F" w:rsidR="004E1420" w:rsidRDefault="0045224B" w:rsidP="004E1420">
      <w:pPr>
        <w:pStyle w:val="Heading2"/>
      </w:pPr>
      <w:r>
        <w:t>On CRS based measurements</w:t>
      </w:r>
    </w:p>
    <w:p w14:paraId="66CA5852" w14:textId="6E16B17B" w:rsidR="000072FC" w:rsidRDefault="0045224B" w:rsidP="0045224B">
      <w:pPr>
        <w:pStyle w:val="BodyText"/>
        <w:rPr>
          <w:lang w:eastAsia="en-US"/>
        </w:rPr>
      </w:pPr>
      <w:r>
        <w:rPr>
          <w:lang w:eastAsia="en-US"/>
        </w:rPr>
        <w:t xml:space="preserve">In the basic design of NB-IoT Release 13 it was decided </w:t>
      </w:r>
      <w:r w:rsidR="0094385C">
        <w:rPr>
          <w:lang w:eastAsia="en-US"/>
        </w:rPr>
        <w:t>to base</w:t>
      </w:r>
      <w:r w:rsidR="00E6620C">
        <w:rPr>
          <w:lang w:eastAsia="en-US"/>
        </w:rPr>
        <w:t xml:space="preserve"> radio resource management (RRM) measurement on NRS transmissions. </w:t>
      </w:r>
      <w:r w:rsidR="000072FC">
        <w:rPr>
          <w:lang w:eastAsia="en-US"/>
        </w:rPr>
        <w:t>In cased of idle mode</w:t>
      </w:r>
      <w:r w:rsidR="00F4404C">
        <w:rPr>
          <w:lang w:eastAsia="en-US"/>
        </w:rPr>
        <w:t>,</w:t>
      </w:r>
      <w:r w:rsidR="000072FC">
        <w:rPr>
          <w:lang w:eastAsia="en-US"/>
        </w:rPr>
        <w:t xml:space="preserve"> t</w:t>
      </w:r>
      <w:r w:rsidR="00F619FA">
        <w:rPr>
          <w:lang w:eastAsia="en-US"/>
        </w:rPr>
        <w:t>his was</w:t>
      </w:r>
      <w:r w:rsidR="00F4404C">
        <w:rPr>
          <w:lang w:eastAsia="en-US"/>
        </w:rPr>
        <w:t>,</w:t>
      </w:r>
      <w:r w:rsidR="00F619FA">
        <w:rPr>
          <w:lang w:eastAsia="en-US"/>
        </w:rPr>
        <w:t xml:space="preserve"> in our opinion</w:t>
      </w:r>
      <w:r w:rsidR="00F4404C">
        <w:rPr>
          <w:lang w:eastAsia="en-US"/>
        </w:rPr>
        <w:t>,</w:t>
      </w:r>
      <w:r w:rsidR="00F619FA">
        <w:rPr>
          <w:lang w:eastAsia="en-US"/>
        </w:rPr>
        <w:t xml:space="preserve"> an unfortunate decision since the NB-IoT downlink is already carrying a large overhead in terms of NPSS, NSSS and NPBCH </w:t>
      </w:r>
      <w:r w:rsidR="000072FC">
        <w:rPr>
          <w:lang w:eastAsia="en-US"/>
        </w:rPr>
        <w:t xml:space="preserve">transmissions dimensioned to support idle mode operations even in extended coverage. These transmission </w:t>
      </w:r>
      <w:r w:rsidR="006E3786">
        <w:rPr>
          <w:lang w:eastAsia="en-US"/>
        </w:rPr>
        <w:t>were</w:t>
      </w:r>
      <w:r w:rsidR="000072FC">
        <w:rPr>
          <w:lang w:eastAsia="en-US"/>
        </w:rPr>
        <w:t xml:space="preserve"> already in Release 13 valuable candidates for supporting RRM. </w:t>
      </w:r>
    </w:p>
    <w:p w14:paraId="02971CD6" w14:textId="033BF503" w:rsidR="005763EE" w:rsidRDefault="0094385C" w:rsidP="0045224B">
      <w:pPr>
        <w:pStyle w:val="BodyText"/>
        <w:rPr>
          <w:lang w:eastAsia="en-US"/>
        </w:rPr>
      </w:pPr>
      <w:r>
        <w:rPr>
          <w:lang w:eastAsia="en-US"/>
        </w:rPr>
        <w:t>Hence,</w:t>
      </w:r>
      <w:r w:rsidR="000072FC">
        <w:rPr>
          <w:lang w:eastAsia="en-US"/>
        </w:rPr>
        <w:t xml:space="preserve"> we would not like to introduce new mandatory</w:t>
      </w:r>
      <w:r w:rsidR="00AD3D5D">
        <w:rPr>
          <w:lang w:eastAsia="en-US"/>
        </w:rPr>
        <w:t xml:space="preserve"> idle mode measurement signal </w:t>
      </w:r>
      <w:r w:rsidR="006E3786">
        <w:rPr>
          <w:lang w:eastAsia="en-US"/>
        </w:rPr>
        <w:t>in the NB-IoT downlink, as this would further increase the requirement on the base station transmitter to be on with negative implications in terms of base station power consumption and downlink interference levels.</w:t>
      </w:r>
      <w:r w:rsidR="00AD3D5D">
        <w:rPr>
          <w:lang w:eastAsia="en-US"/>
        </w:rPr>
        <w:t xml:space="preserve"> It is also unwanted to create strong couplings between NB-IoT and LTE</w:t>
      </w:r>
      <w:r w:rsidR="00EE6900">
        <w:rPr>
          <w:lang w:eastAsia="en-US"/>
        </w:rPr>
        <w:t xml:space="preserve"> as NB-IoT in a few years’ time may be operating within a NR carrier and not within a LTE carrier.</w:t>
      </w:r>
      <w:r w:rsidR="00F4404C">
        <w:rPr>
          <w:lang w:eastAsia="en-US"/>
        </w:rPr>
        <w:t xml:space="preserve"> </w:t>
      </w:r>
    </w:p>
    <w:p w14:paraId="0AC502B4" w14:textId="7910D29B" w:rsidR="0031063B" w:rsidRDefault="0031063B" w:rsidP="0031063B">
      <w:pPr>
        <w:pStyle w:val="Proposal"/>
        <w:numPr>
          <w:ilvl w:val="0"/>
          <w:numId w:val="0"/>
        </w:numPr>
        <w:rPr>
          <w:b w:val="0"/>
          <w:lang w:eastAsia="en-US"/>
        </w:rPr>
      </w:pPr>
      <w:r w:rsidRPr="0031063B">
        <w:rPr>
          <w:b w:val="0"/>
          <w:lang w:eastAsia="en-US"/>
        </w:rPr>
        <w:t xml:space="preserve">In </w:t>
      </w:r>
      <w:r>
        <w:rPr>
          <w:b w:val="0"/>
          <w:lang w:eastAsia="en-US"/>
        </w:rPr>
        <w:t>case of inband mode with same PCI set in LTE and NB-IoT</w:t>
      </w:r>
      <w:r w:rsidR="00F4404C">
        <w:rPr>
          <w:b w:val="0"/>
          <w:lang w:eastAsia="en-US"/>
        </w:rPr>
        <w:t>,</w:t>
      </w:r>
      <w:r>
        <w:rPr>
          <w:b w:val="0"/>
          <w:lang w:eastAsia="en-US"/>
        </w:rPr>
        <w:t xml:space="preserve"> there is already a requirement on the base station transmitter to deliver the CRS. </w:t>
      </w:r>
      <w:r w:rsidR="00F1460F">
        <w:rPr>
          <w:b w:val="0"/>
          <w:lang w:eastAsia="en-US"/>
        </w:rPr>
        <w:t>I</w:t>
      </w:r>
      <w:r>
        <w:rPr>
          <w:b w:val="0"/>
          <w:lang w:eastAsia="en-US"/>
        </w:rPr>
        <w:t>n this specific case CRS may be used, if proven beneficial, to measure NRSRP</w:t>
      </w:r>
      <w:r w:rsidR="0094385C">
        <w:rPr>
          <w:b w:val="0"/>
          <w:lang w:eastAsia="en-US"/>
        </w:rPr>
        <w:t>/NRSRQ</w:t>
      </w:r>
      <w:r>
        <w:rPr>
          <w:b w:val="0"/>
          <w:lang w:eastAsia="en-US"/>
        </w:rPr>
        <w:t xml:space="preserve"> for connected mode</w:t>
      </w:r>
      <w:r w:rsidR="004133B7">
        <w:rPr>
          <w:b w:val="0"/>
          <w:lang w:eastAsia="en-US"/>
        </w:rPr>
        <w:t xml:space="preserve"> procedures</w:t>
      </w:r>
      <w:r>
        <w:rPr>
          <w:b w:val="0"/>
          <w:lang w:eastAsia="en-US"/>
        </w:rPr>
        <w:t>.</w:t>
      </w:r>
      <w:r w:rsidR="00F4404C">
        <w:rPr>
          <w:b w:val="0"/>
          <w:lang w:eastAsia="en-US"/>
        </w:rPr>
        <w:t xml:space="preserve"> However, when there are 4 TX antenna ports at the eNB used for </w:t>
      </w:r>
      <w:r w:rsidR="00F4404C">
        <w:rPr>
          <w:b w:val="0"/>
          <w:lang w:eastAsia="en-US"/>
        </w:rPr>
        <w:lastRenderedPageBreak/>
        <w:t xml:space="preserve">LTE, </w:t>
      </w:r>
      <w:r w:rsidR="00F1460F">
        <w:rPr>
          <w:b w:val="0"/>
          <w:lang w:eastAsia="en-US"/>
        </w:rPr>
        <w:t xml:space="preserve">the CRS cannot be used by the NB-IoT UE. Therefore, there are lots of restrictions to use CRS for idle mode RRM measurement. </w:t>
      </w:r>
    </w:p>
    <w:p w14:paraId="0DB0501D" w14:textId="77777777" w:rsidR="00F1460F" w:rsidRDefault="00F1460F" w:rsidP="00F1460F">
      <w:pPr>
        <w:pStyle w:val="Proposal"/>
        <w:numPr>
          <w:ilvl w:val="0"/>
          <w:numId w:val="37"/>
        </w:numPr>
        <w:tabs>
          <w:tab w:val="clear" w:pos="1304"/>
        </w:tabs>
        <w:ind w:left="1701" w:hanging="1701"/>
        <w:rPr>
          <w:lang w:eastAsia="en-US"/>
        </w:rPr>
      </w:pPr>
      <w:r>
        <w:rPr>
          <w:lang w:eastAsia="en-US"/>
        </w:rPr>
        <w:t>CRS is not a candidate for improving NB-IoT idle mode RRM measurements.</w:t>
      </w:r>
    </w:p>
    <w:p w14:paraId="5DAB35B4" w14:textId="315326A2" w:rsidR="00665774" w:rsidRDefault="00665774" w:rsidP="00665774">
      <w:pPr>
        <w:pStyle w:val="Heading2"/>
      </w:pPr>
      <w:r>
        <w:t xml:space="preserve">On </w:t>
      </w:r>
      <w:r w:rsidR="00536084">
        <w:t xml:space="preserve">the use of </w:t>
      </w:r>
      <w:r>
        <w:t>N</w:t>
      </w:r>
      <w:r w:rsidR="00536084">
        <w:t>PBCH, NPDCCH and</w:t>
      </w:r>
      <w:r w:rsidR="00E4546A">
        <w:t xml:space="preserve"> NPDSCH </w:t>
      </w:r>
      <w:r w:rsidR="00536084">
        <w:t xml:space="preserve">for improving connected mode </w:t>
      </w:r>
      <w:r w:rsidR="00E4546A">
        <w:t>measurements</w:t>
      </w:r>
    </w:p>
    <w:p w14:paraId="15717FF6" w14:textId="7DF1B2A2" w:rsidR="00C0102B" w:rsidRPr="00C0102B" w:rsidRDefault="00ED4F50" w:rsidP="00ED4F50">
      <w:pPr>
        <w:pStyle w:val="Heading3"/>
      </w:pPr>
      <w:r>
        <w:t>Connected mode power control tolerance</w:t>
      </w:r>
    </w:p>
    <w:p w14:paraId="53161A34" w14:textId="46EECAE0" w:rsidR="00E4546A" w:rsidRDefault="009E1819" w:rsidP="00E4546A">
      <w:r>
        <w:t xml:space="preserve">For connected mode improved measurement accuracy can be expected to </w:t>
      </w:r>
      <w:r w:rsidR="00A1491F">
        <w:t xml:space="preserve">positively influence </w:t>
      </w:r>
      <w:r>
        <w:t xml:space="preserve">e.g. the </w:t>
      </w:r>
      <w:r w:rsidR="00DC284E">
        <w:t xml:space="preserve">power control accuracy. </w:t>
      </w:r>
      <w:r w:rsidR="00C0102B">
        <w:t xml:space="preserve">TS 36.101 section 6.3.5.1 specifies an absolute power tolerance of ± 9 dB (under normal conditions), which sets the initial accuracy by which a device configures its output power. In </w:t>
      </w:r>
      <w:r w:rsidR="009A3E87">
        <w:t>addition,</w:t>
      </w:r>
      <w:r w:rsidR="00C0102B">
        <w:t xml:space="preserve"> one needs to consider the aggregated power control tolerance specified in TS 36.101 section 6.3.5F.3 which specifies the ability of the device to maintain the initial selected</w:t>
      </w:r>
      <w:r w:rsidR="009A3E87">
        <w:t xml:space="preserve"> power</w:t>
      </w:r>
      <w:r w:rsidR="00C0102B">
        <w:t xml:space="preserve"> level during a NPUSCH transmission.  The aggregated power control tolerance is set to ± 3.5 dB. This implies that a device may have a power inaccuracy spanning ± 12.5 dB under normal conditions.</w:t>
      </w:r>
    </w:p>
    <w:p w14:paraId="6FDDBA99" w14:textId="71456146" w:rsidR="00ED4F50" w:rsidRPr="00E4546A" w:rsidRDefault="00A27681" w:rsidP="00E4546A">
      <w:r>
        <w:t>Such high inaccuracy has several drawbacks e.g. in terms of unpredictable link level performance, loss of orthogonality between subcarriers and reduced device battery life.</w:t>
      </w:r>
      <w:r w:rsidR="008A7A6A">
        <w:t xml:space="preserve"> As the allowed inaccuracy to a large extent can be related to the NRSRP measurement inaccuracy, an improved measurement accuracy will allow a tightened power control tolerance.</w:t>
      </w:r>
    </w:p>
    <w:p w14:paraId="446D4954" w14:textId="05A96DD3" w:rsidR="00A27681" w:rsidRPr="00C0102B" w:rsidRDefault="00A27681" w:rsidP="00A27681">
      <w:pPr>
        <w:pStyle w:val="Heading4"/>
      </w:pPr>
      <w:r>
        <w:t>Impact on subcarrier orthogonality</w:t>
      </w:r>
    </w:p>
    <w:p w14:paraId="6952FE69" w14:textId="77777777" w:rsidR="009048B9" w:rsidRDefault="00A27681" w:rsidP="0045224B">
      <w:pPr>
        <w:pStyle w:val="BodyText"/>
        <w:rPr>
          <w:lang w:eastAsia="en-US"/>
        </w:rPr>
      </w:pPr>
      <w:r>
        <w:rPr>
          <w:lang w:eastAsia="en-US"/>
        </w:rPr>
        <w:t xml:space="preserve">The orthogonality between NB-IoT subcarriers are in theory determined by the </w:t>
      </w:r>
      <w:r w:rsidR="008A7A6A">
        <w:rPr>
          <w:lang w:eastAsia="en-US"/>
        </w:rPr>
        <w:t>transmitter F</w:t>
      </w:r>
      <w:r>
        <w:rPr>
          <w:lang w:eastAsia="en-US"/>
        </w:rPr>
        <w:t>ourier transformation but are in practice set by the inband spectrum emission requirements</w:t>
      </w:r>
      <w:r w:rsidR="008A7A6A">
        <w:rPr>
          <w:lang w:eastAsia="en-US"/>
        </w:rPr>
        <w:t xml:space="preserve"> as specified in TS 36.101 section 6.5.2F.3</w:t>
      </w:r>
      <w:r>
        <w:rPr>
          <w:lang w:eastAsia="en-US"/>
        </w:rPr>
        <w:t xml:space="preserve">. </w:t>
      </w:r>
    </w:p>
    <w:p w14:paraId="2A2A1343" w14:textId="719FE0ED" w:rsidR="00AD3D5D" w:rsidRDefault="008A7A6A" w:rsidP="0045224B">
      <w:pPr>
        <w:pStyle w:val="BodyText"/>
        <w:rPr>
          <w:lang w:eastAsia="en-US"/>
        </w:rPr>
      </w:pPr>
      <w:r>
        <w:rPr>
          <w:lang w:eastAsia="en-US"/>
        </w:rPr>
        <w:t>Consider two devices which are located next to each other and experiencing the</w:t>
      </w:r>
      <w:r w:rsidR="009048B9">
        <w:rPr>
          <w:lang w:eastAsia="en-US"/>
        </w:rPr>
        <w:t xml:space="preserve"> same</w:t>
      </w:r>
      <w:r>
        <w:rPr>
          <w:lang w:eastAsia="en-US"/>
        </w:rPr>
        <w:t xml:space="preserve"> </w:t>
      </w:r>
      <w:r w:rsidR="000546B9">
        <w:rPr>
          <w:lang w:eastAsia="en-US"/>
        </w:rPr>
        <w:t xml:space="preserve">received NRSRP, e.g. the </w:t>
      </w:r>
      <w:r>
        <w:rPr>
          <w:lang w:eastAsia="en-US"/>
        </w:rPr>
        <w:t xml:space="preserve">same coupling loss. Ideally their uplink transmission should use the same power, resulting in both </w:t>
      </w:r>
      <w:r w:rsidR="000546B9">
        <w:rPr>
          <w:lang w:eastAsia="en-US"/>
        </w:rPr>
        <w:t xml:space="preserve">transmissions reaching the base station </w:t>
      </w:r>
      <w:r w:rsidR="00A60D68">
        <w:rPr>
          <w:lang w:eastAsia="en-US"/>
        </w:rPr>
        <w:t>at</w:t>
      </w:r>
      <w:r w:rsidR="000546B9">
        <w:rPr>
          <w:lang w:eastAsia="en-US"/>
        </w:rPr>
        <w:t xml:space="preserve"> the same</w:t>
      </w:r>
      <w:r w:rsidR="00A60D68">
        <w:rPr>
          <w:lang w:eastAsia="en-US"/>
        </w:rPr>
        <w:t xml:space="preserve"> receive</w:t>
      </w:r>
      <w:r w:rsidR="000546B9">
        <w:rPr>
          <w:lang w:eastAsia="en-US"/>
        </w:rPr>
        <w:t xml:space="preserve"> power level. However, </w:t>
      </w:r>
      <w:r w:rsidR="00F1460F">
        <w:rPr>
          <w:lang w:eastAsia="en-US"/>
        </w:rPr>
        <w:t xml:space="preserve">in the extreme case, </w:t>
      </w:r>
      <w:r w:rsidR="000546B9">
        <w:rPr>
          <w:lang w:eastAsia="en-US"/>
        </w:rPr>
        <w:t xml:space="preserve">if the first UE underestimates the NRSRP with 12.5 dB while the second UE overestimates the NRSRP with 12.5 dB, then the system need to cope with a power difference of 25 dB between the two devices. </w:t>
      </w:r>
      <w:r w:rsidR="000546B9">
        <w:rPr>
          <w:lang w:eastAsia="en-US"/>
        </w:rPr>
        <w:fldChar w:fldCharType="begin"/>
      </w:r>
      <w:r w:rsidR="000546B9">
        <w:rPr>
          <w:lang w:eastAsia="en-US"/>
        </w:rPr>
        <w:instrText xml:space="preserve"> REF _Ref486413451 \h </w:instrText>
      </w:r>
      <w:r w:rsidR="000546B9">
        <w:rPr>
          <w:lang w:eastAsia="en-US"/>
        </w:rPr>
      </w:r>
      <w:r w:rsidR="000546B9">
        <w:rPr>
          <w:lang w:eastAsia="en-US"/>
        </w:rPr>
        <w:fldChar w:fldCharType="separate"/>
      </w:r>
      <w:r w:rsidR="001B5EA8">
        <w:t xml:space="preserve">Figure </w:t>
      </w:r>
      <w:r w:rsidR="001B5EA8">
        <w:rPr>
          <w:noProof/>
        </w:rPr>
        <w:t>1</w:t>
      </w:r>
      <w:r w:rsidR="000546B9">
        <w:rPr>
          <w:lang w:eastAsia="en-US"/>
        </w:rPr>
        <w:fldChar w:fldCharType="end"/>
      </w:r>
      <w:r w:rsidR="000546B9">
        <w:rPr>
          <w:lang w:eastAsia="en-US"/>
        </w:rPr>
        <w:t xml:space="preserve"> illustrates this situation </w:t>
      </w:r>
      <w:r w:rsidR="009048B9">
        <w:rPr>
          <w:lang w:eastAsia="en-US"/>
        </w:rPr>
        <w:t xml:space="preserve">for two devices assigned NPUSCH transmissions on subcarriers 4 and 5. </w:t>
      </w:r>
      <w:r w:rsidR="00F1460F">
        <w:rPr>
          <w:lang w:eastAsia="en-US"/>
        </w:rPr>
        <w:t xml:space="preserve">Assuming </w:t>
      </w:r>
      <w:r w:rsidR="000546B9">
        <w:rPr>
          <w:lang w:eastAsia="en-US"/>
        </w:rPr>
        <w:t xml:space="preserve">0 dB is </w:t>
      </w:r>
      <w:r w:rsidR="009048B9">
        <w:rPr>
          <w:lang w:eastAsia="en-US"/>
        </w:rPr>
        <w:t>the ideal configured pow</w:t>
      </w:r>
      <w:r w:rsidR="00F1460F">
        <w:rPr>
          <w:lang w:eastAsia="en-US"/>
        </w:rPr>
        <w:t xml:space="preserve">er, </w:t>
      </w:r>
      <w:r w:rsidR="009048B9">
        <w:rPr>
          <w:lang w:eastAsia="en-US"/>
        </w:rPr>
        <w:t xml:space="preserve">the </w:t>
      </w:r>
      <w:r w:rsidR="00F1460F">
        <w:rPr>
          <w:lang w:eastAsia="en-US"/>
        </w:rPr>
        <w:t xml:space="preserve">two </w:t>
      </w:r>
      <w:r w:rsidR="009048B9">
        <w:rPr>
          <w:lang w:eastAsia="en-US"/>
        </w:rPr>
        <w:t>UEs are 12.5 dB above and 12.5 dB below the ideal level. The NB-IoT inban</w:t>
      </w:r>
      <w:r w:rsidR="00F1460F">
        <w:rPr>
          <w:lang w:eastAsia="en-US"/>
        </w:rPr>
        <w:t>d emission requirements require</w:t>
      </w:r>
      <w:r w:rsidR="009048B9">
        <w:rPr>
          <w:lang w:eastAsia="en-US"/>
        </w:rPr>
        <w:t xml:space="preserve"> </w:t>
      </w:r>
      <w:r w:rsidR="00A60D68">
        <w:rPr>
          <w:lang w:eastAsia="en-US"/>
        </w:rPr>
        <w:t xml:space="preserve">an </w:t>
      </w:r>
      <w:r w:rsidR="009048B9">
        <w:rPr>
          <w:lang w:eastAsia="en-US"/>
        </w:rPr>
        <w:t xml:space="preserve">UE to supress its emission with 18 dBc. The figure clearly shows that this is far from sufficient, as the second UE is 7 dB </w:t>
      </w:r>
      <w:r w:rsidR="00A60D68">
        <w:rPr>
          <w:lang w:eastAsia="en-US"/>
        </w:rPr>
        <w:t xml:space="preserve">below the inband emission </w:t>
      </w:r>
      <w:r w:rsidR="009048B9">
        <w:rPr>
          <w:lang w:eastAsia="en-US"/>
        </w:rPr>
        <w:t>level</w:t>
      </w:r>
      <w:r w:rsidR="00A60D68">
        <w:rPr>
          <w:lang w:eastAsia="en-US"/>
        </w:rPr>
        <w:t xml:space="preserve"> allowed for the first UE</w:t>
      </w:r>
      <w:r w:rsidR="009048B9">
        <w:rPr>
          <w:lang w:eastAsia="en-US"/>
        </w:rPr>
        <w:t xml:space="preserve">. It should be noted that the </w:t>
      </w:r>
      <w:r w:rsidR="00A60D68">
        <w:rPr>
          <w:lang w:eastAsia="en-US"/>
        </w:rPr>
        <w:t xml:space="preserve">inband </w:t>
      </w:r>
      <w:r w:rsidR="009048B9">
        <w:rPr>
          <w:lang w:eastAsia="en-US"/>
        </w:rPr>
        <w:t>emissions shown for UE1 and UE2 are only examples used in this illustration, and not examples</w:t>
      </w:r>
      <w:r w:rsidR="00A60D68">
        <w:rPr>
          <w:lang w:eastAsia="en-US"/>
        </w:rPr>
        <w:t xml:space="preserve"> of expected emission levels</w:t>
      </w:r>
      <w:r w:rsidR="00B355EB">
        <w:rPr>
          <w:lang w:eastAsia="en-US"/>
        </w:rPr>
        <w:t xml:space="preserve"> seen in a real UE implementation</w:t>
      </w:r>
      <w:r w:rsidR="009048B9">
        <w:rPr>
          <w:lang w:eastAsia="en-US"/>
        </w:rPr>
        <w:t>.</w:t>
      </w:r>
    </w:p>
    <w:p w14:paraId="57464985" w14:textId="75282024" w:rsidR="00A60D68" w:rsidRDefault="00B136EB" w:rsidP="0045224B">
      <w:pPr>
        <w:pStyle w:val="BodyText"/>
        <w:rPr>
          <w:lang w:eastAsia="en-US"/>
        </w:rPr>
      </w:pPr>
      <w:r>
        <w:rPr>
          <w:lang w:eastAsia="en-US"/>
        </w:rPr>
        <w:t xml:space="preserve">Notice that only open-loop power control is not used by NB-IoT. Therefore, there are only limited tools for the eNB to limit the powers from the UEs, which are not sufficient is this case. </w:t>
      </w:r>
      <w:r w:rsidR="00A60D68">
        <w:rPr>
          <w:lang w:eastAsia="en-US"/>
        </w:rPr>
        <w:t>Based on this it is clear that an improved NRSRP and power control accuracy will improve the orthogonality between adjacent subcarriers and result in an overall more robust system design.</w:t>
      </w:r>
    </w:p>
    <w:p w14:paraId="6DBB7457" w14:textId="768D9213" w:rsidR="009914C1" w:rsidRDefault="009914C1" w:rsidP="009914C1">
      <w:pPr>
        <w:pStyle w:val="Observation"/>
        <w:numPr>
          <w:ilvl w:val="0"/>
          <w:numId w:val="38"/>
        </w:numPr>
        <w:ind w:left="1701" w:hanging="1701"/>
      </w:pPr>
      <w:r>
        <w:rPr>
          <w:lang w:eastAsia="en-US"/>
        </w:rPr>
        <w:t xml:space="preserve">Improved </w:t>
      </w:r>
      <w:r w:rsidR="00536084">
        <w:rPr>
          <w:lang w:eastAsia="en-US"/>
        </w:rPr>
        <w:t xml:space="preserve">connected mode </w:t>
      </w:r>
      <w:r>
        <w:rPr>
          <w:lang w:eastAsia="en-US"/>
        </w:rPr>
        <w:t>NRSRP and power control accuracy will improve the orthogonality between adjacent subcarriers and result in an overall more robust system design</w:t>
      </w:r>
      <w:r>
        <w:t>.</w:t>
      </w:r>
    </w:p>
    <w:p w14:paraId="43D8E509" w14:textId="7A904024" w:rsidR="009914C1" w:rsidRDefault="009914C1" w:rsidP="009914C1">
      <w:pPr>
        <w:pStyle w:val="BodyText"/>
      </w:pPr>
      <w:r>
        <w:t xml:space="preserve">To secure that UE2 is never below the </w:t>
      </w:r>
      <w:r w:rsidR="00CA2DB3">
        <w:t xml:space="preserve">inband emission levels of UE1 times the sum of the absolute power tolerance and the aggregated power control tolerance should not be allowed to exceed </w:t>
      </w:r>
      <w:r w:rsidR="00CB471D">
        <w:t>9</w:t>
      </w:r>
      <w:r w:rsidR="00CA2DB3">
        <w:t xml:space="preserve"> dB.</w:t>
      </w:r>
    </w:p>
    <w:p w14:paraId="5B1650F3" w14:textId="6C894227" w:rsidR="009914C1" w:rsidRDefault="009914C1" w:rsidP="009914C1">
      <w:pPr>
        <w:pStyle w:val="Proposal"/>
        <w:numPr>
          <w:ilvl w:val="0"/>
          <w:numId w:val="37"/>
        </w:numPr>
        <w:tabs>
          <w:tab w:val="clear" w:pos="1304"/>
        </w:tabs>
        <w:ind w:left="1701" w:hanging="1701"/>
        <w:rPr>
          <w:lang w:eastAsia="en-US"/>
        </w:rPr>
      </w:pPr>
      <w:r>
        <w:rPr>
          <w:lang w:eastAsia="en-US"/>
        </w:rPr>
        <w:t xml:space="preserve">RAN1 should strive to </w:t>
      </w:r>
      <w:r w:rsidR="00CA2DB3">
        <w:rPr>
          <w:lang w:eastAsia="en-US"/>
        </w:rPr>
        <w:t>limit</w:t>
      </w:r>
      <w:r>
        <w:rPr>
          <w:lang w:eastAsia="en-US"/>
        </w:rPr>
        <w:t xml:space="preserve"> the sum of the absolute </w:t>
      </w:r>
      <w:r w:rsidR="00CA2DB3">
        <w:t>power tolerance and the aggregated power control tolerance to ±9 dB.</w:t>
      </w:r>
    </w:p>
    <w:p w14:paraId="71C17562" w14:textId="011E0EF2" w:rsidR="00E276BD" w:rsidRDefault="00E276BD" w:rsidP="0045224B">
      <w:pPr>
        <w:pStyle w:val="BodyText"/>
        <w:rPr>
          <w:lang w:eastAsia="en-US"/>
        </w:rPr>
      </w:pPr>
    </w:p>
    <w:p w14:paraId="405A4277" w14:textId="17B0E79C" w:rsidR="008A7A6A" w:rsidRDefault="000546B9" w:rsidP="008A7A6A">
      <w:pPr>
        <w:pStyle w:val="BodyText"/>
        <w:keepNext/>
      </w:pPr>
      <w:r>
        <w:rPr>
          <w:noProof/>
          <w:lang w:val="en-US"/>
        </w:rPr>
        <w:lastRenderedPageBreak/>
        <w:drawing>
          <wp:inline distT="0" distB="0" distL="0" distR="0" wp14:anchorId="78B21C24" wp14:editId="3BC6C90F">
            <wp:extent cx="5040975" cy="3602438"/>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AN1#89_SEM_Impact_from_power_cntrl.png"/>
                    <pic:cNvPicPr/>
                  </pic:nvPicPr>
                  <pic:blipFill>
                    <a:blip r:embed="rId8">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79301DA5" w14:textId="1CD0327C" w:rsidR="00E276BD" w:rsidRDefault="008A7A6A" w:rsidP="008A7A6A">
      <w:pPr>
        <w:pStyle w:val="Caption"/>
        <w:jc w:val="both"/>
      </w:pPr>
      <w:bookmarkStart w:id="3" w:name="_Ref486413451"/>
      <w:r>
        <w:t xml:space="preserve">Figure </w:t>
      </w:r>
      <w:r>
        <w:fldChar w:fldCharType="begin"/>
      </w:r>
      <w:r>
        <w:instrText xml:space="preserve"> SEQ Figure \* ARABIC </w:instrText>
      </w:r>
      <w:r>
        <w:fldChar w:fldCharType="separate"/>
      </w:r>
      <w:r w:rsidR="001B5EA8">
        <w:rPr>
          <w:noProof/>
        </w:rPr>
        <w:t>1</w:t>
      </w:r>
      <w:r>
        <w:fldChar w:fldCharType="end"/>
      </w:r>
      <w:bookmarkEnd w:id="3"/>
      <w:r>
        <w:t xml:space="preserve"> Illustration of impact on subcarrier orthogonality due to power control inaccuracy of ± 12.5 dB.</w:t>
      </w:r>
    </w:p>
    <w:p w14:paraId="69C67F4B" w14:textId="79A1F2F4" w:rsidR="00CB471D" w:rsidRPr="00C0102B" w:rsidRDefault="00CB471D" w:rsidP="00CB471D">
      <w:pPr>
        <w:pStyle w:val="Heading4"/>
      </w:pPr>
      <w:r>
        <w:t>Impact on UE power consumption</w:t>
      </w:r>
    </w:p>
    <w:p w14:paraId="580A34A4" w14:textId="5BE680B4" w:rsidR="00CB471D" w:rsidRDefault="00CB471D" w:rsidP="00CB471D">
      <w:r>
        <w:t>It can be expected that an inaccurate power control will lead to a suboptimal power consumption. Since NB-IoT is a new technology limited</w:t>
      </w:r>
      <w:r w:rsidR="00B355EB">
        <w:t>/no</w:t>
      </w:r>
      <w:r>
        <w:t xml:space="preserve"> public material describing the power consumption profile for a range of output power levels exists. For </w:t>
      </w:r>
      <w:r w:rsidR="00B355EB">
        <w:t>LTE,</w:t>
      </w:r>
      <w:r>
        <w:t xml:space="preserve"> there are however published articles in this area that can be used to exemplify the negative impact on UE power consumption from </w:t>
      </w:r>
      <w:r w:rsidR="00DE36F2">
        <w:t xml:space="preserve">using an incorrect power level. In </w:t>
      </w:r>
      <w:r w:rsidR="00DE36F2">
        <w:fldChar w:fldCharType="begin"/>
      </w:r>
      <w:r w:rsidR="00DE36F2">
        <w:instrText xml:space="preserve"> REF _Ref486416108 \r \h </w:instrText>
      </w:r>
      <w:r w:rsidR="00DE36F2">
        <w:fldChar w:fldCharType="separate"/>
      </w:r>
      <w:r w:rsidR="001B5EA8">
        <w:t>[1]</w:t>
      </w:r>
      <w:r w:rsidR="00DE36F2">
        <w:fldChar w:fldCharType="end"/>
      </w:r>
      <w:r w:rsidR="00DE36F2">
        <w:t xml:space="preserve"> a model to characterize the average power consumption of a 23 dBm smart phone transmitting at 800 MHz is described</w:t>
      </w:r>
      <w:r w:rsidR="00841AFF">
        <w:t xml:space="preserve"> as</w:t>
      </w:r>
      <w:r w:rsidR="00DE36F2">
        <w:t>:</w:t>
      </w:r>
    </w:p>
    <w:p w14:paraId="71B763CB" w14:textId="2DD024B3" w:rsidR="00DE36F2" w:rsidRPr="00841AFF" w:rsidRDefault="001B5EA8" w:rsidP="00CB471D">
      <m:oMathPara>
        <m:oMath>
          <m:sSub>
            <m:sSubPr>
              <m:ctrlPr>
                <w:rPr>
                  <w:rFonts w:ascii="Cambria Math" w:hAnsi="Cambria Math"/>
                  <w:i/>
                </w:rPr>
              </m:ctrlPr>
            </m:sSubPr>
            <m:e>
              <m:r>
                <w:rPr>
                  <w:rFonts w:ascii="Cambria Math" w:hAnsi="Cambria Math"/>
                </w:rPr>
                <m:t>P</m:t>
              </m:r>
            </m:e>
            <m:sub>
              <m:r>
                <w:rPr>
                  <w:rFonts w:ascii="Cambria Math" w:hAnsi="Cambria Math"/>
                </w:rPr>
                <m:t>IN</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TX</m:t>
                  </m:r>
                </m:sub>
              </m:sSub>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4.8</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 xml:space="preserve">+1600 mW,  for </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≤12 dBm</m:t>
                  </m:r>
                </m:e>
                <m:e>
                  <m:r>
                    <w:rPr>
                      <w:rFonts w:ascii="Cambria Math" w:hAnsi="Cambria Math"/>
                    </w:rPr>
                    <m:t>68</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 xml:space="preserve">+790 mW,  for </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&gt;12 dBm</m:t>
                  </m:r>
                </m:e>
              </m:eqArr>
            </m:e>
          </m:d>
        </m:oMath>
      </m:oMathPara>
    </w:p>
    <w:p w14:paraId="7385058E" w14:textId="77777777" w:rsidR="00841AFF" w:rsidRDefault="00841AFF" w:rsidP="00841AFF">
      <w:pPr>
        <w:keepNext/>
      </w:pPr>
      <w:r>
        <w:rPr>
          <w:noProof/>
          <w:lang w:val="en-US"/>
        </w:rPr>
        <w:lastRenderedPageBreak/>
        <w:drawing>
          <wp:inline distT="0" distB="0" distL="0" distR="0" wp14:anchorId="7AEB90D2" wp14:editId="3A1FC4BF">
            <wp:extent cx="5040975" cy="3602438"/>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AN1#89_UE_power_model.png"/>
                    <pic:cNvPicPr/>
                  </pic:nvPicPr>
                  <pic:blipFill>
                    <a:blip r:embed="rId9">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272C7ACC" w14:textId="69592244" w:rsidR="00841AFF" w:rsidRDefault="00841AFF" w:rsidP="00841AFF">
      <w:pPr>
        <w:pStyle w:val="Caption"/>
      </w:pPr>
      <w:r>
        <w:t xml:space="preserve">Figure </w:t>
      </w:r>
      <w:r>
        <w:fldChar w:fldCharType="begin"/>
      </w:r>
      <w:r>
        <w:instrText xml:space="preserve"> SEQ Figure \* ARABIC </w:instrText>
      </w:r>
      <w:r>
        <w:fldChar w:fldCharType="separate"/>
      </w:r>
      <w:r w:rsidR="001B5EA8">
        <w:rPr>
          <w:noProof/>
        </w:rPr>
        <w:t>2</w:t>
      </w:r>
      <w:r>
        <w:fldChar w:fldCharType="end"/>
      </w:r>
      <w:r>
        <w:t xml:space="preserve"> Smart phone power consumption model </w:t>
      </w:r>
      <w:r>
        <w:fldChar w:fldCharType="begin"/>
      </w:r>
      <w:r>
        <w:instrText xml:space="preserve"> REF _Ref486416108 \r \h  \* MERGEFORMAT </w:instrText>
      </w:r>
      <w:r>
        <w:fldChar w:fldCharType="separate"/>
      </w:r>
      <w:r w:rsidR="001B5EA8">
        <w:t>[1]</w:t>
      </w:r>
      <w:r>
        <w:fldChar w:fldCharType="end"/>
      </w:r>
      <w:r>
        <w:t>.</w:t>
      </w:r>
    </w:p>
    <w:p w14:paraId="5E7837E3" w14:textId="51A3E83D" w:rsidR="00841AFF" w:rsidRDefault="00841AFF" w:rsidP="00841AFF">
      <w:r>
        <w:t xml:space="preserve">Based on this simple model the excessive power consumption for a given ideal power level </w:t>
      </w:r>
      <w:r w:rsidRPr="00841AFF">
        <w:rPr>
          <w:i/>
        </w:rPr>
        <w:t>P</w:t>
      </w:r>
      <w:r w:rsidRPr="00841AFF">
        <w:rPr>
          <w:i/>
          <w:vertAlign w:val="subscript"/>
        </w:rPr>
        <w:t>I</w:t>
      </w:r>
      <w:r w:rsidR="00EA7EE8">
        <w:rPr>
          <w:i/>
          <w:vertAlign w:val="subscript"/>
        </w:rPr>
        <w:t>DEAL</w:t>
      </w:r>
      <w:r>
        <w:t xml:space="preserve"> and a power configuration error </w:t>
      </w:r>
      <w:r w:rsidRPr="00841AFF">
        <w:rPr>
          <w:i/>
        </w:rPr>
        <w:t>P</w:t>
      </w:r>
      <w:r w:rsidRPr="00841AFF">
        <w:rPr>
          <w:i/>
          <w:vertAlign w:val="subscript"/>
        </w:rPr>
        <w:t>E</w:t>
      </w:r>
      <w:r w:rsidR="00EA7EE8">
        <w:rPr>
          <w:i/>
          <w:vertAlign w:val="subscript"/>
        </w:rPr>
        <w:t>RR</w:t>
      </w:r>
      <w:r>
        <w:t xml:space="preserve"> can be calculated as:</w:t>
      </w:r>
    </w:p>
    <w:p w14:paraId="2D61265D" w14:textId="77777777" w:rsidR="00841AFF" w:rsidRDefault="00841AFF" w:rsidP="00841AFF"/>
    <w:p w14:paraId="6B5E40AD" w14:textId="48851224" w:rsidR="00841AFF" w:rsidRPr="00EA7EE8" w:rsidRDefault="001B5EA8" w:rsidP="00841AFF">
      <m:oMathPara>
        <m:oMath>
          <m:sSub>
            <m:sSubPr>
              <m:ctrlPr>
                <w:rPr>
                  <w:rFonts w:ascii="Cambria Math" w:hAnsi="Cambria Math"/>
                  <w:i/>
                </w:rPr>
              </m:ctrlPr>
            </m:sSubPr>
            <m:e>
              <m:r>
                <w:rPr>
                  <w:rFonts w:ascii="Cambria Math" w:hAnsi="Cambria Math"/>
                </w:rPr>
                <m:t>P</m:t>
              </m:r>
            </m:e>
            <m:sub>
              <m:r>
                <w:rPr>
                  <w:rFonts w:ascii="Cambria Math" w:hAnsi="Cambria Math"/>
                </w:rPr>
                <m:t>EX</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IN</m:t>
                      </m:r>
                    </m:sub>
                  </m:sSub>
                  <m:d>
                    <m:dPr>
                      <m:ctrlPr>
                        <w:rPr>
                          <w:rFonts w:ascii="Cambria Math" w:hAnsi="Cambria Math"/>
                        </w:rPr>
                      </m:ctrlPr>
                    </m:dPr>
                    <m:e>
                      <m:sSub>
                        <m:sSubPr>
                          <m:ctrlPr>
                            <w:rPr>
                              <w:rFonts w:ascii="Cambria Math" w:hAnsi="Cambria Math"/>
                              <w:i/>
                            </w:rPr>
                          </m:ctrlPr>
                        </m:sSubPr>
                        <m:e>
                          <m:r>
                            <m:rPr>
                              <m:sty m:val="p"/>
                            </m:rPr>
                            <w:rPr>
                              <w:rFonts w:ascii="Cambria Math" w:hAnsi="Cambria Math"/>
                            </w:rPr>
                            <m:t>min⁡</m:t>
                          </m:r>
                          <m:r>
                            <w:rPr>
                              <w:rFonts w:ascii="Cambria Math" w:hAnsi="Cambria Math"/>
                            </w:rPr>
                            <m:t>(23, P</m:t>
                          </m:r>
                        </m:e>
                        <m:sub>
                          <m:r>
                            <w:rPr>
                              <w:rFonts w:ascii="Cambria Math" w:hAnsi="Cambria Math"/>
                            </w:rPr>
                            <m:t>IDEAL</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ERR</m:t>
                          </m:r>
                        </m:sub>
                      </m:sSub>
                      <m:r>
                        <w:rPr>
                          <w:rFonts w:ascii="Cambria Math" w:hAnsi="Cambria Math"/>
                        </w:rPr>
                        <m:t>)</m:t>
                      </m:r>
                      <m:ctrlPr>
                        <w:rPr>
                          <w:rFonts w:ascii="Cambria Math" w:hAnsi="Cambria Math"/>
                          <w:i/>
                        </w:rPr>
                      </m:ctrlPr>
                    </m:e>
                  </m:d>
                  <m:r>
                    <w:rPr>
                      <w:rFonts w:ascii="Cambria Math" w:hAnsi="Cambria Math"/>
                    </w:rPr>
                    <m:t>-P</m:t>
                  </m:r>
                </m:e>
                <m:sub>
                  <m:r>
                    <w:rPr>
                      <w:rFonts w:ascii="Cambria Math" w:hAnsi="Cambria Math"/>
                    </w:rPr>
                    <m:t>IN</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IDEAL</m:t>
                  </m:r>
                </m:sub>
              </m:sSub>
              <m:r>
                <w:rPr>
                  <w:rFonts w:ascii="Cambria Math" w:hAnsi="Cambria Math"/>
                </w:rPr>
                <m:t>)</m:t>
              </m:r>
            </m:num>
            <m:den>
              <m:sSub>
                <m:sSubPr>
                  <m:ctrlPr>
                    <w:rPr>
                      <w:rFonts w:ascii="Cambria Math" w:hAnsi="Cambria Math"/>
                      <w:i/>
                    </w:rPr>
                  </m:ctrlPr>
                </m:sSubPr>
                <m:e>
                  <m:r>
                    <w:rPr>
                      <w:rFonts w:ascii="Cambria Math" w:hAnsi="Cambria Math"/>
                    </w:rPr>
                    <m:t>P</m:t>
                  </m:r>
                </m:e>
                <m:sub>
                  <m:r>
                    <w:rPr>
                      <w:rFonts w:ascii="Cambria Math" w:hAnsi="Cambria Math"/>
                    </w:rPr>
                    <m:t>IN</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IDEAL</m:t>
                  </m:r>
                </m:sub>
              </m:sSub>
              <m:r>
                <w:rPr>
                  <w:rFonts w:ascii="Cambria Math" w:hAnsi="Cambria Math"/>
                </w:rPr>
                <m:t>)</m:t>
              </m:r>
            </m:den>
          </m:f>
        </m:oMath>
      </m:oMathPara>
    </w:p>
    <w:p w14:paraId="45EEB3D5" w14:textId="28660423" w:rsidR="00EA7EE8" w:rsidRPr="00841AFF" w:rsidRDefault="00EA7EE8" w:rsidP="00841AFF">
      <w:r>
        <w:fldChar w:fldCharType="begin"/>
      </w:r>
      <w:r>
        <w:instrText xml:space="preserve"> REF _Ref486421649 \h </w:instrText>
      </w:r>
      <w:r>
        <w:fldChar w:fldCharType="separate"/>
      </w:r>
      <w:r w:rsidR="001B5EA8">
        <w:t xml:space="preserve">Figure </w:t>
      </w:r>
      <w:r w:rsidR="001B5EA8">
        <w:rPr>
          <w:noProof/>
        </w:rPr>
        <w:t>3</w:t>
      </w:r>
      <w:r>
        <w:fldChar w:fldCharType="end"/>
      </w:r>
      <w:r>
        <w:t xml:space="preserve"> gives the excessive power consumption for the worst case power error of +12.5 dB which gives a peak</w:t>
      </w:r>
      <w:r w:rsidRPr="00EA7EE8">
        <w:t xml:space="preserve"> </w:t>
      </w:r>
      <w:r>
        <w:t>excessive power consumption of ~42% at an ideal output power of 11 dB which results in an configured actual output power of 23 dBm due to the large error of +12.5 dB.</w:t>
      </w:r>
    </w:p>
    <w:p w14:paraId="1527E2BC" w14:textId="108586F7" w:rsidR="00841AFF" w:rsidRDefault="00841AFF" w:rsidP="00CB471D">
      <w:r>
        <w:rPr>
          <w:noProof/>
          <w:lang w:val="en-US"/>
        </w:rPr>
        <w:lastRenderedPageBreak/>
        <w:drawing>
          <wp:inline distT="0" distB="0" distL="0" distR="0" wp14:anchorId="6D9768CD" wp14:editId="6F6B140E">
            <wp:extent cx="5040975" cy="3602438"/>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AN1#89_UE_power_loss_model.png"/>
                    <pic:cNvPicPr/>
                  </pic:nvPicPr>
                  <pic:blipFill>
                    <a:blip r:embed="rId10">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0D189693" w14:textId="298DCDC3" w:rsidR="00EA7EE8" w:rsidRDefault="00EA7EE8" w:rsidP="00EA7EE8">
      <w:pPr>
        <w:pStyle w:val="Caption"/>
      </w:pPr>
      <w:bookmarkStart w:id="4" w:name="_Ref486421649"/>
      <w:r>
        <w:t xml:space="preserve">Figure </w:t>
      </w:r>
      <w:r>
        <w:fldChar w:fldCharType="begin"/>
      </w:r>
      <w:r>
        <w:instrText xml:space="preserve"> SEQ Figure \* ARABIC </w:instrText>
      </w:r>
      <w:r>
        <w:fldChar w:fldCharType="separate"/>
      </w:r>
      <w:r w:rsidR="001B5EA8">
        <w:rPr>
          <w:noProof/>
        </w:rPr>
        <w:t>3</w:t>
      </w:r>
      <w:r>
        <w:fldChar w:fldCharType="end"/>
      </w:r>
      <w:bookmarkEnd w:id="4"/>
      <w:r>
        <w:t xml:space="preserve"> Excessive power consumption due to an power error of 12.5 dB </w:t>
      </w:r>
      <w:r>
        <w:fldChar w:fldCharType="begin"/>
      </w:r>
      <w:r>
        <w:instrText xml:space="preserve"> REF _Ref486416108 \r \h  \* MERGEFORMAT </w:instrText>
      </w:r>
      <w:r>
        <w:fldChar w:fldCharType="separate"/>
      </w:r>
      <w:r w:rsidR="001B5EA8">
        <w:t>[1]</w:t>
      </w:r>
      <w:r>
        <w:fldChar w:fldCharType="end"/>
      </w:r>
      <w:r>
        <w:t>.</w:t>
      </w:r>
    </w:p>
    <w:p w14:paraId="5469F651" w14:textId="4E1A64CB" w:rsidR="00841AFF" w:rsidRDefault="00EA7EE8" w:rsidP="00CB471D">
      <w:r>
        <w:t>It is clear to this is a very simple model that only applies in worst</w:t>
      </w:r>
      <w:r w:rsidR="00536084">
        <w:t xml:space="preserve"> case for a smart phone device, but it serves its purpose to illustrate that incorrectly configured output power levels may cause waste of battery power. </w:t>
      </w:r>
    </w:p>
    <w:p w14:paraId="4A51117D" w14:textId="690825C5" w:rsidR="00536084" w:rsidRDefault="00536084" w:rsidP="00536084">
      <w:pPr>
        <w:pStyle w:val="Observation"/>
        <w:numPr>
          <w:ilvl w:val="0"/>
          <w:numId w:val="38"/>
        </w:numPr>
        <w:ind w:left="1701" w:hanging="1701"/>
      </w:pPr>
      <w:r>
        <w:rPr>
          <w:lang w:eastAsia="en-US"/>
        </w:rPr>
        <w:t>Improved connected mode NRSRP and power control accuracy will improve the UE power consumption characteristics.</w:t>
      </w:r>
    </w:p>
    <w:p w14:paraId="16352D6D" w14:textId="08713A35" w:rsidR="00536084" w:rsidRPr="00C0102B" w:rsidRDefault="00536084" w:rsidP="00536084">
      <w:pPr>
        <w:pStyle w:val="Heading3"/>
      </w:pPr>
      <w:r>
        <w:t>Connected mode measurements</w:t>
      </w:r>
    </w:p>
    <w:p w14:paraId="2BDFA93A" w14:textId="7F48A721" w:rsidR="00DF0C7E" w:rsidRDefault="00536084" w:rsidP="00CB471D">
      <w:r>
        <w:t>In connected mode</w:t>
      </w:r>
      <w:r w:rsidR="00FF1706">
        <w:t>,</w:t>
      </w:r>
      <w:r>
        <w:t xml:space="preserve"> a UE is currently required to </w:t>
      </w:r>
      <w:r w:rsidR="00433F38">
        <w:t>base</w:t>
      </w:r>
      <w:r>
        <w:t xml:space="preserve"> NRSRP on NRS transmissions.</w:t>
      </w:r>
      <w:r w:rsidR="0060240E">
        <w:t xml:space="preserve"> In our view it is reasonable to also consider making general use of the NPDCCH </w:t>
      </w:r>
      <w:r w:rsidR="00DF0C7E">
        <w:t>for improving the measurements. This since an uplink transmission per definition is scheduled by a NPDCCH, so a device should be able to decode the NPDCCH and measure its power at the same time.</w:t>
      </w:r>
    </w:p>
    <w:p w14:paraId="0652FAF4" w14:textId="26A5FB19" w:rsidR="0060240E" w:rsidRDefault="00DF0C7E" w:rsidP="00CB471D">
      <w:r>
        <w:t xml:space="preserve">For a device configured on the anchor carrier the </w:t>
      </w:r>
      <w:r w:rsidR="00B355EB">
        <w:t xml:space="preserve">NSSS and </w:t>
      </w:r>
      <w:r>
        <w:t>NPBCH transmissions may in addition to the NPDCCH be used for connected mode measurements.</w:t>
      </w:r>
    </w:p>
    <w:p w14:paraId="39203033" w14:textId="2B645864" w:rsidR="001B3028" w:rsidRDefault="00433F38" w:rsidP="00CB471D">
      <w:r>
        <w:t>The NRS is at most transmitted on 8 resource elements per antenna port, i.e. at most on 16 out of the 168 resource elements (R</w:t>
      </w:r>
      <w:r w:rsidR="00B355EB">
        <w:t>E</w:t>
      </w:r>
      <w:r>
        <w:t>s) in a subframe. This can be compared to the NPBCH which is transmitted on 100 REs and the NPDCCH that is transmitted on between 100 and 160 REs depending on the mode of operation and the NRS/CRS antenna port configurations.</w:t>
      </w:r>
      <w:r w:rsidR="0051676C">
        <w:t xml:space="preserve"> The power carried by the </w:t>
      </w:r>
      <w:r w:rsidR="000341E4">
        <w:t>NPBCH and NPDCCH is hence in the order of 8 to 13 dB higher than what is carried by the NRSs.</w:t>
      </w:r>
      <w:r w:rsidR="0060240E">
        <w:t xml:space="preserve"> The densification offered by the NPBCH and NPDCCH should have the ability to improve the reliability of NRSRP measurements. </w:t>
      </w:r>
    </w:p>
    <w:p w14:paraId="3C3D55BF" w14:textId="6D2E16E2" w:rsidR="00DF0C7E" w:rsidRDefault="00DF0C7E" w:rsidP="00DF0C7E">
      <w:r>
        <w:t>The use of the NPDSCH for measuring NRSRP is somewhat limited due to NB-IoT not supporting simultaneous uplink and downlink data transmission. It is therefore proposed to focus on improving connected mode anchor and non-anchor RRM measurements based on NPDCCH and NPBCH transmission.</w:t>
      </w:r>
    </w:p>
    <w:p w14:paraId="27003585" w14:textId="77777777" w:rsidR="00DF0C7E" w:rsidRDefault="00DF0C7E" w:rsidP="00DF0C7E">
      <w:pPr>
        <w:pStyle w:val="Proposal"/>
        <w:numPr>
          <w:ilvl w:val="0"/>
          <w:numId w:val="37"/>
        </w:numPr>
        <w:tabs>
          <w:tab w:val="clear" w:pos="1304"/>
        </w:tabs>
        <w:ind w:left="1701" w:hanging="1701"/>
        <w:rPr>
          <w:lang w:eastAsia="en-US"/>
        </w:rPr>
      </w:pPr>
      <w:r>
        <w:rPr>
          <w:lang w:eastAsia="en-US"/>
        </w:rPr>
        <w:t xml:space="preserve">RAN1 should consider </w:t>
      </w:r>
      <w:r>
        <w:t>connected mode anchor and non-anchor RRM measurements based on NPDCCH and NPBCH transmission.</w:t>
      </w:r>
    </w:p>
    <w:p w14:paraId="4E585CE0" w14:textId="33A0BF1A" w:rsidR="0086479A" w:rsidRDefault="0086479A" w:rsidP="0086479A">
      <w:pPr>
        <w:pStyle w:val="Heading1"/>
      </w:pPr>
      <w:r>
        <w:lastRenderedPageBreak/>
        <w:t>Conclusions</w:t>
      </w:r>
    </w:p>
    <w:p w14:paraId="6DA1EB01" w14:textId="26AB681E" w:rsidR="005763EE" w:rsidRDefault="005763EE" w:rsidP="005763EE">
      <w:pPr>
        <w:pStyle w:val="BodyText"/>
      </w:pPr>
      <w:r>
        <w:t>In this contribution, we have discussed the support for NPRACH false alarm reduction. We made the following observations and proposals</w:t>
      </w:r>
      <w:r w:rsidRPr="00CE0424">
        <w:t>:</w:t>
      </w:r>
    </w:p>
    <w:p w14:paraId="477D7374" w14:textId="4CC5B9A1" w:rsidR="00DF0C7E" w:rsidRDefault="00DF0C7E" w:rsidP="00DF0C7E">
      <w:pPr>
        <w:pStyle w:val="Proposal"/>
        <w:numPr>
          <w:ilvl w:val="0"/>
          <w:numId w:val="43"/>
        </w:numPr>
        <w:tabs>
          <w:tab w:val="clear" w:pos="1304"/>
        </w:tabs>
        <w:ind w:left="1701" w:hanging="1701"/>
        <w:rPr>
          <w:lang w:eastAsia="en-US"/>
        </w:rPr>
      </w:pPr>
      <w:r>
        <w:rPr>
          <w:lang w:eastAsia="en-US"/>
        </w:rPr>
        <w:t>CRS is not a candidate for improving NB-IoT idle mode RRM measurements.</w:t>
      </w:r>
    </w:p>
    <w:p w14:paraId="1ED3BBF7" w14:textId="77777777" w:rsidR="00DF0C7E" w:rsidRDefault="00DF0C7E" w:rsidP="00DF0C7E">
      <w:pPr>
        <w:pStyle w:val="Proposal"/>
        <w:numPr>
          <w:ilvl w:val="0"/>
          <w:numId w:val="37"/>
        </w:numPr>
        <w:tabs>
          <w:tab w:val="clear" w:pos="1304"/>
        </w:tabs>
        <w:ind w:left="1701" w:hanging="1701"/>
        <w:rPr>
          <w:lang w:eastAsia="en-US"/>
        </w:rPr>
      </w:pPr>
      <w:r>
        <w:rPr>
          <w:lang w:eastAsia="en-US"/>
        </w:rPr>
        <w:t xml:space="preserve">RAN1 should strive to limit the sum of the absolute </w:t>
      </w:r>
      <w:r>
        <w:t>power tolerance and the aggregated power control tolerance to ±9 dB.</w:t>
      </w:r>
    </w:p>
    <w:p w14:paraId="665CE09A" w14:textId="77777777" w:rsidR="00DF0C7E" w:rsidRDefault="00DF0C7E" w:rsidP="00DF0C7E">
      <w:pPr>
        <w:pStyle w:val="Proposal"/>
        <w:numPr>
          <w:ilvl w:val="0"/>
          <w:numId w:val="37"/>
        </w:numPr>
        <w:tabs>
          <w:tab w:val="clear" w:pos="1304"/>
        </w:tabs>
        <w:ind w:left="1701" w:hanging="1701"/>
        <w:rPr>
          <w:lang w:eastAsia="en-US"/>
        </w:rPr>
      </w:pPr>
      <w:r>
        <w:rPr>
          <w:lang w:eastAsia="en-US"/>
        </w:rPr>
        <w:t xml:space="preserve">RAN1 should consider </w:t>
      </w:r>
      <w:r>
        <w:t>connected mode anchor and non-anchor RRM measurements based on NPDCCH and NPBCH transmission.</w:t>
      </w:r>
    </w:p>
    <w:p w14:paraId="420C85F7" w14:textId="6691913A" w:rsidR="005763EE" w:rsidRDefault="005763EE" w:rsidP="0086479A">
      <w:pPr>
        <w:pStyle w:val="BodyText"/>
      </w:pPr>
    </w:p>
    <w:p w14:paraId="175184A7" w14:textId="77777777" w:rsidR="00DF0C7E" w:rsidRDefault="00DF0C7E" w:rsidP="00DF0C7E">
      <w:pPr>
        <w:pStyle w:val="Observation"/>
        <w:numPr>
          <w:ilvl w:val="0"/>
          <w:numId w:val="44"/>
        </w:numPr>
        <w:ind w:left="1701" w:hanging="1701"/>
      </w:pPr>
      <w:r>
        <w:rPr>
          <w:lang w:eastAsia="en-US"/>
        </w:rPr>
        <w:t>Improved connected mode NRSRP and power control accuracy will improve the orthogonality between adjacent subcarriers and result in an overall more robust system design</w:t>
      </w:r>
      <w:r>
        <w:t>.</w:t>
      </w:r>
    </w:p>
    <w:p w14:paraId="6FEFAA83" w14:textId="77777777" w:rsidR="00DF0C7E" w:rsidRDefault="00DF0C7E" w:rsidP="00DF0C7E">
      <w:pPr>
        <w:pStyle w:val="Observation"/>
        <w:numPr>
          <w:ilvl w:val="0"/>
          <w:numId w:val="38"/>
        </w:numPr>
        <w:ind w:left="1701" w:hanging="1701"/>
      </w:pPr>
      <w:r>
        <w:rPr>
          <w:lang w:eastAsia="en-US"/>
        </w:rPr>
        <w:t>Improved connected mode NRSRP and power control accuracy will improve the UE power consumption characteristics.</w:t>
      </w:r>
    </w:p>
    <w:p w14:paraId="7FACEFC0" w14:textId="77777777" w:rsidR="00DF0C7E" w:rsidRDefault="00DF0C7E" w:rsidP="0086479A">
      <w:pPr>
        <w:pStyle w:val="BodyText"/>
      </w:pPr>
    </w:p>
    <w:p w14:paraId="287BEBC4" w14:textId="1D2B5558" w:rsidR="0086479A" w:rsidRDefault="0086479A" w:rsidP="0086479A">
      <w:pPr>
        <w:pStyle w:val="Heading1"/>
      </w:pPr>
      <w:r>
        <w:t>References</w:t>
      </w:r>
    </w:p>
    <w:p w14:paraId="502B4FF3" w14:textId="02058696" w:rsidR="00DE36F2" w:rsidRDefault="00DE36F2" w:rsidP="005763EE">
      <w:pPr>
        <w:pStyle w:val="Reference"/>
      </w:pPr>
      <w:bookmarkStart w:id="5" w:name="_Ref486416108"/>
      <w:r>
        <w:t>An accurate measurement-based power consumption model for LTE uplink transmissions, IEEE Infocom 2013 Demo/Poster session, Dusza et al</w:t>
      </w:r>
      <w:bookmarkEnd w:id="5"/>
      <w:r>
        <w:t xml:space="preserve"> </w:t>
      </w:r>
    </w:p>
    <w:p w14:paraId="2908E051" w14:textId="7562E928" w:rsidR="0060240E" w:rsidRDefault="0060240E" w:rsidP="005763EE">
      <w:pPr>
        <w:pStyle w:val="Reference"/>
      </w:pPr>
      <w:r>
        <w:t>R1-1706890, Narrowband measurement accuracy improvements for NB-IoT, RAN1#89, Ericsson</w:t>
      </w:r>
    </w:p>
    <w:p w14:paraId="6E97871C" w14:textId="1759167B" w:rsidR="0060240E" w:rsidRDefault="0060240E" w:rsidP="00F71344">
      <w:pPr>
        <w:pStyle w:val="Reference"/>
      </w:pPr>
      <w:bookmarkStart w:id="6" w:name="_Ref481584712"/>
      <w:r>
        <w:t>R4</w:t>
      </w:r>
      <w:r w:rsidRPr="00D10C4B">
        <w:t>-78AH-0129, “Further RRM measurements simulation results in stationary scenario”, RAN4#78-NB-IoT, source Ericsson</w:t>
      </w:r>
      <w:bookmarkEnd w:id="6"/>
    </w:p>
    <w:sectPr w:rsidR="0060240E" w:rsidSect="00C02A4C">
      <w:headerReference w:type="even" r:id="rId11"/>
      <w:footerReference w:type="default" r:id="rId1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5F85A" w14:textId="77777777" w:rsidR="001A6BFB" w:rsidRDefault="001A6BFB">
      <w:r>
        <w:separator/>
      </w:r>
    </w:p>
  </w:endnote>
  <w:endnote w:type="continuationSeparator" w:id="0">
    <w:p w14:paraId="6551B1D7" w14:textId="77777777" w:rsidR="001A6BFB" w:rsidRDefault="001A6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05C35131" w:rsidR="00EC06B7" w:rsidRDefault="00EC06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B5EA8">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5E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B499E" w14:textId="77777777" w:rsidR="001A6BFB" w:rsidRDefault="001A6BFB">
      <w:r>
        <w:separator/>
      </w:r>
    </w:p>
  </w:footnote>
  <w:footnote w:type="continuationSeparator" w:id="0">
    <w:p w14:paraId="27B9EE66" w14:textId="77777777" w:rsidR="001A6BFB" w:rsidRDefault="001A6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77777777" w:rsidR="00EC06B7" w:rsidRDefault="00EC06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4E5210B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C365D0"/>
    <w:multiLevelType w:val="hybridMultilevel"/>
    <w:tmpl w:val="361E8DFE"/>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4"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583D27"/>
    <w:multiLevelType w:val="hybridMultilevel"/>
    <w:tmpl w:val="8488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5"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31"/>
  </w:num>
  <w:num w:numId="3">
    <w:abstractNumId w:val="21"/>
  </w:num>
  <w:num w:numId="4">
    <w:abstractNumId w:val="22"/>
  </w:num>
  <w:num w:numId="5">
    <w:abstractNumId w:val="16"/>
  </w:num>
  <w:num w:numId="6">
    <w:abstractNumId w:val="28"/>
  </w:num>
  <w:num w:numId="7">
    <w:abstractNumId w:val="33"/>
  </w:num>
  <w:num w:numId="8">
    <w:abstractNumId w:val="17"/>
  </w:num>
  <w:num w:numId="9">
    <w:abstractNumId w:val="15"/>
  </w:num>
  <w:num w:numId="10">
    <w:abstractNumId w:val="2"/>
  </w:num>
  <w:num w:numId="11">
    <w:abstractNumId w:val="1"/>
  </w:num>
  <w:num w:numId="12">
    <w:abstractNumId w:val="0"/>
  </w:num>
  <w:num w:numId="13">
    <w:abstractNumId w:val="32"/>
  </w:num>
  <w:num w:numId="14">
    <w:abstractNumId w:val="20"/>
  </w:num>
  <w:num w:numId="15">
    <w:abstractNumId w:val="27"/>
  </w:num>
  <w:num w:numId="16">
    <w:abstractNumId w:val="24"/>
  </w:num>
  <w:num w:numId="17">
    <w:abstractNumId w:val="34"/>
  </w:num>
  <w:num w:numId="18">
    <w:abstractNumId w:val="11"/>
  </w:num>
  <w:num w:numId="19">
    <w:abstractNumId w:val="19"/>
  </w:num>
  <w:num w:numId="20">
    <w:abstractNumId w:val="30"/>
  </w:num>
  <w:num w:numId="21">
    <w:abstractNumId w:val="38"/>
  </w:num>
  <w:num w:numId="22">
    <w:abstractNumId w:val="18"/>
  </w:num>
  <w:num w:numId="23">
    <w:abstractNumId w:val="12"/>
  </w:num>
  <w:num w:numId="24">
    <w:abstractNumId w:val="7"/>
  </w:num>
  <w:num w:numId="25">
    <w:abstractNumId w:val="6"/>
  </w:num>
  <w:num w:numId="26">
    <w:abstractNumId w:val="23"/>
  </w:num>
  <w:num w:numId="27">
    <w:abstractNumId w:val="35"/>
  </w:num>
  <w:num w:numId="28">
    <w:abstractNumId w:val="10"/>
  </w:num>
  <w:num w:numId="29">
    <w:abstractNumId w:val="36"/>
  </w:num>
  <w:num w:numId="30">
    <w:abstractNumId w:val="25"/>
  </w:num>
  <w:num w:numId="31">
    <w:abstractNumId w:val="8"/>
    <w:lvlOverride w:ilvl="0"/>
    <w:lvlOverride w:ilvl="1"/>
    <w:lvlOverride w:ilvl="2"/>
    <w:lvlOverride w:ilvl="3">
      <w:startOverride w:val="1"/>
    </w:lvlOverride>
    <w:lvlOverride w:ilvl="4"/>
    <w:lvlOverride w:ilvl="5"/>
    <w:lvlOverride w:ilvl="6"/>
    <w:lvlOverride w:ilvl="7"/>
    <w:lvlOverride w:ilvl="8"/>
  </w:num>
  <w:num w:numId="32">
    <w:abstractNumId w:val="29"/>
  </w:num>
  <w:num w:numId="33">
    <w:abstractNumId w:val="37"/>
  </w:num>
  <w:num w:numId="34">
    <w:abstractNumId w:val="8"/>
    <w:lvlOverride w:ilvl="0"/>
    <w:lvlOverride w:ilvl="1"/>
    <w:lvlOverride w:ilvl="2"/>
    <w:lvlOverride w:ilvl="3">
      <w:startOverride w:val="1"/>
    </w:lvlOverride>
    <w:lvlOverride w:ilvl="4"/>
    <w:lvlOverride w:ilvl="5"/>
    <w:lvlOverride w:ilvl="6"/>
    <w:lvlOverride w:ilvl="7"/>
    <w:lvlOverride w:ilvl="8"/>
  </w:num>
  <w:num w:numId="35">
    <w:abstractNumId w:val="9"/>
  </w:num>
  <w:num w:numId="36">
    <w:abstractNumId w:val="26"/>
  </w:num>
  <w:num w:numId="37">
    <w:abstractNumId w:val="21"/>
    <w:lvlOverride w:ilvl="0">
      <w:startOverride w:val="1"/>
    </w:lvlOverride>
  </w:num>
  <w:num w:numId="38">
    <w:abstractNumId w:val="32"/>
    <w:lvlOverride w:ilvl="0">
      <w:startOverride w:val="1"/>
    </w:lvlOverride>
  </w:num>
  <w:num w:numId="39">
    <w:abstractNumId w:val="5"/>
  </w:num>
  <w:num w:numId="40">
    <w:abstractNumId w:val="14"/>
  </w:num>
  <w:num w:numId="41">
    <w:abstractNumId w:val="3"/>
  </w:num>
  <w:num w:numId="42">
    <w:abstractNumId w:val="13"/>
  </w:num>
  <w:num w:numId="43">
    <w:abstractNumId w:val="21"/>
    <w:lvlOverride w:ilvl="0">
      <w:startOverride w:val="1"/>
    </w:lvlOverride>
  </w:num>
  <w:num w:numId="44">
    <w:abstractNumId w:val="3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2FC"/>
    <w:rsid w:val="00007CDC"/>
    <w:rsid w:val="00011B28"/>
    <w:rsid w:val="00015D15"/>
    <w:rsid w:val="00017EBC"/>
    <w:rsid w:val="000219F1"/>
    <w:rsid w:val="00023205"/>
    <w:rsid w:val="00023964"/>
    <w:rsid w:val="0002564D"/>
    <w:rsid w:val="000256B8"/>
    <w:rsid w:val="00025ECA"/>
    <w:rsid w:val="00030B30"/>
    <w:rsid w:val="00030EEE"/>
    <w:rsid w:val="000325B8"/>
    <w:rsid w:val="000341E4"/>
    <w:rsid w:val="00034C15"/>
    <w:rsid w:val="00036BA1"/>
    <w:rsid w:val="00042009"/>
    <w:rsid w:val="000422E2"/>
    <w:rsid w:val="00042F22"/>
    <w:rsid w:val="00043DDA"/>
    <w:rsid w:val="000444EF"/>
    <w:rsid w:val="0004615F"/>
    <w:rsid w:val="00052A07"/>
    <w:rsid w:val="000534E3"/>
    <w:rsid w:val="000546B9"/>
    <w:rsid w:val="0005606A"/>
    <w:rsid w:val="00057117"/>
    <w:rsid w:val="0006066D"/>
    <w:rsid w:val="000616E7"/>
    <w:rsid w:val="0006487E"/>
    <w:rsid w:val="00065E1A"/>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3474"/>
    <w:rsid w:val="0009510F"/>
    <w:rsid w:val="000A1B7B"/>
    <w:rsid w:val="000A2F4B"/>
    <w:rsid w:val="000A56F2"/>
    <w:rsid w:val="000B0D6B"/>
    <w:rsid w:val="000B23D3"/>
    <w:rsid w:val="000B2719"/>
    <w:rsid w:val="000B3A8F"/>
    <w:rsid w:val="000B4AB9"/>
    <w:rsid w:val="000B58C3"/>
    <w:rsid w:val="000B61E9"/>
    <w:rsid w:val="000B7827"/>
    <w:rsid w:val="000C165A"/>
    <w:rsid w:val="000C1F7C"/>
    <w:rsid w:val="000C2E19"/>
    <w:rsid w:val="000C6B6F"/>
    <w:rsid w:val="000D0D07"/>
    <w:rsid w:val="000D4627"/>
    <w:rsid w:val="000D4797"/>
    <w:rsid w:val="000E0527"/>
    <w:rsid w:val="000E1E92"/>
    <w:rsid w:val="000E28C5"/>
    <w:rsid w:val="000E708C"/>
    <w:rsid w:val="000F06D6"/>
    <w:rsid w:val="000F0EB1"/>
    <w:rsid w:val="000F1106"/>
    <w:rsid w:val="000F3BE9"/>
    <w:rsid w:val="000F3F6C"/>
    <w:rsid w:val="000F6DF3"/>
    <w:rsid w:val="001005FF"/>
    <w:rsid w:val="001053CC"/>
    <w:rsid w:val="001062FB"/>
    <w:rsid w:val="001063E6"/>
    <w:rsid w:val="00106E19"/>
    <w:rsid w:val="00113CF4"/>
    <w:rsid w:val="00114624"/>
    <w:rsid w:val="001153EA"/>
    <w:rsid w:val="00115643"/>
    <w:rsid w:val="00115B5C"/>
    <w:rsid w:val="00116765"/>
    <w:rsid w:val="001219F5"/>
    <w:rsid w:val="00121A20"/>
    <w:rsid w:val="0012377F"/>
    <w:rsid w:val="00124314"/>
    <w:rsid w:val="00125AE6"/>
    <w:rsid w:val="00126B4A"/>
    <w:rsid w:val="00132FD0"/>
    <w:rsid w:val="001344C0"/>
    <w:rsid w:val="001346FA"/>
    <w:rsid w:val="00135252"/>
    <w:rsid w:val="001353A0"/>
    <w:rsid w:val="00137AB5"/>
    <w:rsid w:val="00137F0B"/>
    <w:rsid w:val="00140D18"/>
    <w:rsid w:val="0014647B"/>
    <w:rsid w:val="0015193B"/>
    <w:rsid w:val="00151A84"/>
    <w:rsid w:val="00151E23"/>
    <w:rsid w:val="001526E0"/>
    <w:rsid w:val="00152E7A"/>
    <w:rsid w:val="0015373E"/>
    <w:rsid w:val="001551B5"/>
    <w:rsid w:val="001560D2"/>
    <w:rsid w:val="001645BE"/>
    <w:rsid w:val="00165877"/>
    <w:rsid w:val="001659C1"/>
    <w:rsid w:val="00173A8E"/>
    <w:rsid w:val="0018143F"/>
    <w:rsid w:val="00182965"/>
    <w:rsid w:val="001870BF"/>
    <w:rsid w:val="00190AC1"/>
    <w:rsid w:val="00190C60"/>
    <w:rsid w:val="0019341A"/>
    <w:rsid w:val="00193B11"/>
    <w:rsid w:val="00197DF9"/>
    <w:rsid w:val="001A1987"/>
    <w:rsid w:val="001A2564"/>
    <w:rsid w:val="001A6173"/>
    <w:rsid w:val="001A6BFB"/>
    <w:rsid w:val="001A6CBA"/>
    <w:rsid w:val="001B0D97"/>
    <w:rsid w:val="001B3028"/>
    <w:rsid w:val="001B5A5D"/>
    <w:rsid w:val="001B5EA8"/>
    <w:rsid w:val="001B7402"/>
    <w:rsid w:val="001C1CE5"/>
    <w:rsid w:val="001C3D2A"/>
    <w:rsid w:val="001C7478"/>
    <w:rsid w:val="001D28DD"/>
    <w:rsid w:val="001D51BA"/>
    <w:rsid w:val="001D6342"/>
    <w:rsid w:val="001D6D53"/>
    <w:rsid w:val="001E2560"/>
    <w:rsid w:val="001E302F"/>
    <w:rsid w:val="001E58E2"/>
    <w:rsid w:val="001E7AED"/>
    <w:rsid w:val="001F3916"/>
    <w:rsid w:val="001F54C5"/>
    <w:rsid w:val="001F662C"/>
    <w:rsid w:val="001F7074"/>
    <w:rsid w:val="00200490"/>
    <w:rsid w:val="002012CE"/>
    <w:rsid w:val="00201E1B"/>
    <w:rsid w:val="00201F3A"/>
    <w:rsid w:val="00203F96"/>
    <w:rsid w:val="002069B2"/>
    <w:rsid w:val="00207FA3"/>
    <w:rsid w:val="00210DB4"/>
    <w:rsid w:val="00214DA8"/>
    <w:rsid w:val="00215069"/>
    <w:rsid w:val="00215423"/>
    <w:rsid w:val="002158FA"/>
    <w:rsid w:val="00220600"/>
    <w:rsid w:val="002207BE"/>
    <w:rsid w:val="00220DD8"/>
    <w:rsid w:val="002224DB"/>
    <w:rsid w:val="00223564"/>
    <w:rsid w:val="00223FCB"/>
    <w:rsid w:val="002252C3"/>
    <w:rsid w:val="00225C16"/>
    <w:rsid w:val="00225C54"/>
    <w:rsid w:val="00230765"/>
    <w:rsid w:val="002319E4"/>
    <w:rsid w:val="00234EAE"/>
    <w:rsid w:val="00235632"/>
    <w:rsid w:val="00235872"/>
    <w:rsid w:val="00241559"/>
    <w:rsid w:val="002435B3"/>
    <w:rsid w:val="002451ED"/>
    <w:rsid w:val="002458EB"/>
    <w:rsid w:val="002500C8"/>
    <w:rsid w:val="00257543"/>
    <w:rsid w:val="002617E7"/>
    <w:rsid w:val="00264228"/>
    <w:rsid w:val="0026424D"/>
    <w:rsid w:val="00264334"/>
    <w:rsid w:val="0026473E"/>
    <w:rsid w:val="00266214"/>
    <w:rsid w:val="002679FC"/>
    <w:rsid w:val="00267C83"/>
    <w:rsid w:val="0027144F"/>
    <w:rsid w:val="00271813"/>
    <w:rsid w:val="00271F3A"/>
    <w:rsid w:val="002724CA"/>
    <w:rsid w:val="00273278"/>
    <w:rsid w:val="002737F4"/>
    <w:rsid w:val="002805F5"/>
    <w:rsid w:val="00280751"/>
    <w:rsid w:val="00280BEF"/>
    <w:rsid w:val="0028280A"/>
    <w:rsid w:val="00284C1F"/>
    <w:rsid w:val="00286ACD"/>
    <w:rsid w:val="00287838"/>
    <w:rsid w:val="002907B5"/>
    <w:rsid w:val="00292EB7"/>
    <w:rsid w:val="00293157"/>
    <w:rsid w:val="00294FDF"/>
    <w:rsid w:val="00296227"/>
    <w:rsid w:val="00296F44"/>
    <w:rsid w:val="0029777D"/>
    <w:rsid w:val="002A055E"/>
    <w:rsid w:val="002A1D4E"/>
    <w:rsid w:val="002A2869"/>
    <w:rsid w:val="002B24D6"/>
    <w:rsid w:val="002B785E"/>
    <w:rsid w:val="002C2B16"/>
    <w:rsid w:val="002C41E6"/>
    <w:rsid w:val="002C62B7"/>
    <w:rsid w:val="002D071A"/>
    <w:rsid w:val="002D1A48"/>
    <w:rsid w:val="002D34B2"/>
    <w:rsid w:val="002D3850"/>
    <w:rsid w:val="002D7637"/>
    <w:rsid w:val="002E1355"/>
    <w:rsid w:val="002E17F2"/>
    <w:rsid w:val="002E2DC2"/>
    <w:rsid w:val="002E7CAE"/>
    <w:rsid w:val="002F2771"/>
    <w:rsid w:val="002F37A9"/>
    <w:rsid w:val="002F6288"/>
    <w:rsid w:val="00301122"/>
    <w:rsid w:val="00301CE6"/>
    <w:rsid w:val="0030256B"/>
    <w:rsid w:val="00303D0C"/>
    <w:rsid w:val="0030501F"/>
    <w:rsid w:val="00307BA1"/>
    <w:rsid w:val="0031063B"/>
    <w:rsid w:val="00311702"/>
    <w:rsid w:val="00311E82"/>
    <w:rsid w:val="00313FD6"/>
    <w:rsid w:val="003143BD"/>
    <w:rsid w:val="0031567B"/>
    <w:rsid w:val="003175A3"/>
    <w:rsid w:val="003203ED"/>
    <w:rsid w:val="00322C9F"/>
    <w:rsid w:val="00324D23"/>
    <w:rsid w:val="00327997"/>
    <w:rsid w:val="00331751"/>
    <w:rsid w:val="00331B7B"/>
    <w:rsid w:val="00334579"/>
    <w:rsid w:val="00335858"/>
    <w:rsid w:val="00336BDA"/>
    <w:rsid w:val="00342763"/>
    <w:rsid w:val="00342BD7"/>
    <w:rsid w:val="00346DB5"/>
    <w:rsid w:val="003477B1"/>
    <w:rsid w:val="00357380"/>
    <w:rsid w:val="003602D9"/>
    <w:rsid w:val="003604CE"/>
    <w:rsid w:val="00363CC5"/>
    <w:rsid w:val="00365C1B"/>
    <w:rsid w:val="00370E47"/>
    <w:rsid w:val="00373433"/>
    <w:rsid w:val="003742AC"/>
    <w:rsid w:val="00374ADB"/>
    <w:rsid w:val="00377CE1"/>
    <w:rsid w:val="00385BF0"/>
    <w:rsid w:val="003870C7"/>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5EB6"/>
    <w:rsid w:val="003C6A48"/>
    <w:rsid w:val="003C7806"/>
    <w:rsid w:val="003D109F"/>
    <w:rsid w:val="003D2478"/>
    <w:rsid w:val="003D2533"/>
    <w:rsid w:val="003D3C45"/>
    <w:rsid w:val="003D5B1F"/>
    <w:rsid w:val="003E15FA"/>
    <w:rsid w:val="003E410D"/>
    <w:rsid w:val="003E4FDB"/>
    <w:rsid w:val="003E55E4"/>
    <w:rsid w:val="003E5AF6"/>
    <w:rsid w:val="003E74E3"/>
    <w:rsid w:val="003F05C7"/>
    <w:rsid w:val="003F2CD4"/>
    <w:rsid w:val="003F3DC5"/>
    <w:rsid w:val="003F6041"/>
    <w:rsid w:val="003F6BBE"/>
    <w:rsid w:val="003F6CD2"/>
    <w:rsid w:val="003F790F"/>
    <w:rsid w:val="004000E8"/>
    <w:rsid w:val="004004A2"/>
    <w:rsid w:val="00400CD9"/>
    <w:rsid w:val="0040135F"/>
    <w:rsid w:val="00401EE8"/>
    <w:rsid w:val="00401F99"/>
    <w:rsid w:val="00402E2B"/>
    <w:rsid w:val="004033B5"/>
    <w:rsid w:val="004050EA"/>
    <w:rsid w:val="0040512B"/>
    <w:rsid w:val="00405CA5"/>
    <w:rsid w:val="004071CE"/>
    <w:rsid w:val="00407CD3"/>
    <w:rsid w:val="00410134"/>
    <w:rsid w:val="00410B72"/>
    <w:rsid w:val="00410F18"/>
    <w:rsid w:val="0041263E"/>
    <w:rsid w:val="004133B7"/>
    <w:rsid w:val="00413AAC"/>
    <w:rsid w:val="00413E92"/>
    <w:rsid w:val="00414180"/>
    <w:rsid w:val="004165B2"/>
    <w:rsid w:val="00421105"/>
    <w:rsid w:val="00423E3A"/>
    <w:rsid w:val="004242F4"/>
    <w:rsid w:val="0042501F"/>
    <w:rsid w:val="00427248"/>
    <w:rsid w:val="004302DE"/>
    <w:rsid w:val="004306DD"/>
    <w:rsid w:val="00433F38"/>
    <w:rsid w:val="00437447"/>
    <w:rsid w:val="00441782"/>
    <w:rsid w:val="00441984"/>
    <w:rsid w:val="00441A92"/>
    <w:rsid w:val="00444F56"/>
    <w:rsid w:val="00446488"/>
    <w:rsid w:val="004517AA"/>
    <w:rsid w:val="0045224B"/>
    <w:rsid w:val="00452CAC"/>
    <w:rsid w:val="004555FA"/>
    <w:rsid w:val="00457565"/>
    <w:rsid w:val="00457B71"/>
    <w:rsid w:val="0046233D"/>
    <w:rsid w:val="004669E2"/>
    <w:rsid w:val="00470C31"/>
    <w:rsid w:val="004734D0"/>
    <w:rsid w:val="00474A6E"/>
    <w:rsid w:val="0047556B"/>
    <w:rsid w:val="00477768"/>
    <w:rsid w:val="00477F31"/>
    <w:rsid w:val="0048136B"/>
    <w:rsid w:val="0048528B"/>
    <w:rsid w:val="00485D17"/>
    <w:rsid w:val="00492BC5"/>
    <w:rsid w:val="00495257"/>
    <w:rsid w:val="004964F1"/>
    <w:rsid w:val="00496819"/>
    <w:rsid w:val="0049775F"/>
    <w:rsid w:val="004A16BC"/>
    <w:rsid w:val="004A2B94"/>
    <w:rsid w:val="004A2BF7"/>
    <w:rsid w:val="004A477D"/>
    <w:rsid w:val="004B7082"/>
    <w:rsid w:val="004B7C0C"/>
    <w:rsid w:val="004C3898"/>
    <w:rsid w:val="004D0D22"/>
    <w:rsid w:val="004D36B1"/>
    <w:rsid w:val="004D77DA"/>
    <w:rsid w:val="004D7EBD"/>
    <w:rsid w:val="004E1420"/>
    <w:rsid w:val="004E2680"/>
    <w:rsid w:val="004E28F9"/>
    <w:rsid w:val="004E462E"/>
    <w:rsid w:val="004E56DC"/>
    <w:rsid w:val="004E76F4"/>
    <w:rsid w:val="004F0B4E"/>
    <w:rsid w:val="004F0B6C"/>
    <w:rsid w:val="004F2078"/>
    <w:rsid w:val="004F4DA3"/>
    <w:rsid w:val="004F776E"/>
    <w:rsid w:val="00505312"/>
    <w:rsid w:val="00506557"/>
    <w:rsid w:val="0050677A"/>
    <w:rsid w:val="005108D8"/>
    <w:rsid w:val="005116F9"/>
    <w:rsid w:val="005153A7"/>
    <w:rsid w:val="0051676C"/>
    <w:rsid w:val="005219CF"/>
    <w:rsid w:val="00521B19"/>
    <w:rsid w:val="00522A62"/>
    <w:rsid w:val="00524E8F"/>
    <w:rsid w:val="00534B59"/>
    <w:rsid w:val="00536084"/>
    <w:rsid w:val="00536759"/>
    <w:rsid w:val="00537C62"/>
    <w:rsid w:val="00546970"/>
    <w:rsid w:val="00550E09"/>
    <w:rsid w:val="00554192"/>
    <w:rsid w:val="00554E19"/>
    <w:rsid w:val="0056121F"/>
    <w:rsid w:val="00562D77"/>
    <w:rsid w:val="00572505"/>
    <w:rsid w:val="00575DA6"/>
    <w:rsid w:val="005763EE"/>
    <w:rsid w:val="00582809"/>
    <w:rsid w:val="0058798C"/>
    <w:rsid w:val="00587CB2"/>
    <w:rsid w:val="005900FA"/>
    <w:rsid w:val="0059046B"/>
    <w:rsid w:val="0059337B"/>
    <w:rsid w:val="005935A4"/>
    <w:rsid w:val="005948C2"/>
    <w:rsid w:val="00594EB2"/>
    <w:rsid w:val="005957AF"/>
    <w:rsid w:val="00595DCA"/>
    <w:rsid w:val="0059779B"/>
    <w:rsid w:val="005A209A"/>
    <w:rsid w:val="005A3C71"/>
    <w:rsid w:val="005A662D"/>
    <w:rsid w:val="005A7F5E"/>
    <w:rsid w:val="005B35D7"/>
    <w:rsid w:val="005B392A"/>
    <w:rsid w:val="005B3AA3"/>
    <w:rsid w:val="005B6507"/>
    <w:rsid w:val="005B6F83"/>
    <w:rsid w:val="005C03EB"/>
    <w:rsid w:val="005C3B5B"/>
    <w:rsid w:val="005C74FB"/>
    <w:rsid w:val="005D1602"/>
    <w:rsid w:val="005D43D0"/>
    <w:rsid w:val="005D45B4"/>
    <w:rsid w:val="005E2F98"/>
    <w:rsid w:val="005E385F"/>
    <w:rsid w:val="005E3EB7"/>
    <w:rsid w:val="005E5B81"/>
    <w:rsid w:val="005F1008"/>
    <w:rsid w:val="005F2C44"/>
    <w:rsid w:val="005F2CB1"/>
    <w:rsid w:val="005F3025"/>
    <w:rsid w:val="005F36C0"/>
    <w:rsid w:val="005F47D0"/>
    <w:rsid w:val="005F54AC"/>
    <w:rsid w:val="005F618C"/>
    <w:rsid w:val="005F70BD"/>
    <w:rsid w:val="0060240E"/>
    <w:rsid w:val="0060283C"/>
    <w:rsid w:val="00604F14"/>
    <w:rsid w:val="00606067"/>
    <w:rsid w:val="00611B83"/>
    <w:rsid w:val="00613257"/>
    <w:rsid w:val="00620A71"/>
    <w:rsid w:val="00620D80"/>
    <w:rsid w:val="006234A6"/>
    <w:rsid w:val="00626675"/>
    <w:rsid w:val="00630001"/>
    <w:rsid w:val="006311B3"/>
    <w:rsid w:val="0063284C"/>
    <w:rsid w:val="00636398"/>
    <w:rsid w:val="006368D3"/>
    <w:rsid w:val="006377EC"/>
    <w:rsid w:val="00641328"/>
    <w:rsid w:val="006414B8"/>
    <w:rsid w:val="0064151F"/>
    <w:rsid w:val="00641533"/>
    <w:rsid w:val="0064208D"/>
    <w:rsid w:val="00643475"/>
    <w:rsid w:val="0064396A"/>
    <w:rsid w:val="0064418D"/>
    <w:rsid w:val="0064624E"/>
    <w:rsid w:val="00650AB9"/>
    <w:rsid w:val="006516E2"/>
    <w:rsid w:val="006519B2"/>
    <w:rsid w:val="00655733"/>
    <w:rsid w:val="00655ACD"/>
    <w:rsid w:val="00656A92"/>
    <w:rsid w:val="00656DDE"/>
    <w:rsid w:val="0066011D"/>
    <w:rsid w:val="006607C0"/>
    <w:rsid w:val="0066137B"/>
    <w:rsid w:val="006613A6"/>
    <w:rsid w:val="006627A2"/>
    <w:rsid w:val="006634E6"/>
    <w:rsid w:val="006655EE"/>
    <w:rsid w:val="00665774"/>
    <w:rsid w:val="00667EE7"/>
    <w:rsid w:val="00670922"/>
    <w:rsid w:val="00670BE1"/>
    <w:rsid w:val="0067218F"/>
    <w:rsid w:val="006741F2"/>
    <w:rsid w:val="00674CC3"/>
    <w:rsid w:val="00675C72"/>
    <w:rsid w:val="00676569"/>
    <w:rsid w:val="006771F9"/>
    <w:rsid w:val="006776D7"/>
    <w:rsid w:val="00681003"/>
    <w:rsid w:val="006817C9"/>
    <w:rsid w:val="00683ECE"/>
    <w:rsid w:val="00695FC2"/>
    <w:rsid w:val="00696949"/>
    <w:rsid w:val="00697052"/>
    <w:rsid w:val="006A0735"/>
    <w:rsid w:val="006A46FB"/>
    <w:rsid w:val="006A5E28"/>
    <w:rsid w:val="006A6585"/>
    <w:rsid w:val="006A697B"/>
    <w:rsid w:val="006A7AFF"/>
    <w:rsid w:val="006A7E30"/>
    <w:rsid w:val="006B15ED"/>
    <w:rsid w:val="006B1816"/>
    <w:rsid w:val="006B2099"/>
    <w:rsid w:val="006B50CF"/>
    <w:rsid w:val="006C03B8"/>
    <w:rsid w:val="006C5EC9"/>
    <w:rsid w:val="006C6059"/>
    <w:rsid w:val="006C7522"/>
    <w:rsid w:val="006D6F08"/>
    <w:rsid w:val="006E062C"/>
    <w:rsid w:val="006E1514"/>
    <w:rsid w:val="006E2288"/>
    <w:rsid w:val="006E28B7"/>
    <w:rsid w:val="006E3310"/>
    <w:rsid w:val="006E3786"/>
    <w:rsid w:val="006E4E39"/>
    <w:rsid w:val="006E565E"/>
    <w:rsid w:val="006E673D"/>
    <w:rsid w:val="006E69AC"/>
    <w:rsid w:val="006E6B3A"/>
    <w:rsid w:val="006E7D3B"/>
    <w:rsid w:val="006F1B70"/>
    <w:rsid w:val="006F341D"/>
    <w:rsid w:val="006F3CDE"/>
    <w:rsid w:val="006F58D4"/>
    <w:rsid w:val="006F7E5D"/>
    <w:rsid w:val="007012A7"/>
    <w:rsid w:val="0070346E"/>
    <w:rsid w:val="007037CE"/>
    <w:rsid w:val="0070384E"/>
    <w:rsid w:val="007046D8"/>
    <w:rsid w:val="00704EDB"/>
    <w:rsid w:val="00706101"/>
    <w:rsid w:val="00706B19"/>
    <w:rsid w:val="00707072"/>
    <w:rsid w:val="0070726A"/>
    <w:rsid w:val="00707D61"/>
    <w:rsid w:val="00712287"/>
    <w:rsid w:val="00712772"/>
    <w:rsid w:val="00714207"/>
    <w:rsid w:val="007148D3"/>
    <w:rsid w:val="00715B9A"/>
    <w:rsid w:val="00716403"/>
    <w:rsid w:val="007164F9"/>
    <w:rsid w:val="00717471"/>
    <w:rsid w:val="00726EA6"/>
    <w:rsid w:val="00727208"/>
    <w:rsid w:val="00727680"/>
    <w:rsid w:val="00731228"/>
    <w:rsid w:val="007348B1"/>
    <w:rsid w:val="00735AB5"/>
    <w:rsid w:val="007362A6"/>
    <w:rsid w:val="00736510"/>
    <w:rsid w:val="00736D7D"/>
    <w:rsid w:val="00740AA6"/>
    <w:rsid w:val="00740E58"/>
    <w:rsid w:val="00741AA8"/>
    <w:rsid w:val="007445A0"/>
    <w:rsid w:val="0074524B"/>
    <w:rsid w:val="00747D8B"/>
    <w:rsid w:val="00751228"/>
    <w:rsid w:val="007570D7"/>
    <w:rsid w:val="007571E1"/>
    <w:rsid w:val="007604B2"/>
    <w:rsid w:val="007643A2"/>
    <w:rsid w:val="00765281"/>
    <w:rsid w:val="00766BAD"/>
    <w:rsid w:val="00771D5B"/>
    <w:rsid w:val="007755F2"/>
    <w:rsid w:val="00776971"/>
    <w:rsid w:val="00777D37"/>
    <w:rsid w:val="0078177E"/>
    <w:rsid w:val="00782CBC"/>
    <w:rsid w:val="0078304C"/>
    <w:rsid w:val="00783673"/>
    <w:rsid w:val="00784DAA"/>
    <w:rsid w:val="00785490"/>
    <w:rsid w:val="00790B99"/>
    <w:rsid w:val="007925EA"/>
    <w:rsid w:val="00793CD8"/>
    <w:rsid w:val="0079553B"/>
    <w:rsid w:val="00795C92"/>
    <w:rsid w:val="0079616C"/>
    <w:rsid w:val="00796231"/>
    <w:rsid w:val="007A1CB3"/>
    <w:rsid w:val="007A306F"/>
    <w:rsid w:val="007A43A6"/>
    <w:rsid w:val="007A58A6"/>
    <w:rsid w:val="007A75AC"/>
    <w:rsid w:val="007B3D2D"/>
    <w:rsid w:val="007B50AE"/>
    <w:rsid w:val="007B51DF"/>
    <w:rsid w:val="007B6239"/>
    <w:rsid w:val="007B7374"/>
    <w:rsid w:val="007C05DD"/>
    <w:rsid w:val="007C3D18"/>
    <w:rsid w:val="007C5969"/>
    <w:rsid w:val="007C60BF"/>
    <w:rsid w:val="007C6A07"/>
    <w:rsid w:val="007C75A1"/>
    <w:rsid w:val="007C77A5"/>
    <w:rsid w:val="007D04E5"/>
    <w:rsid w:val="007D2096"/>
    <w:rsid w:val="007D5901"/>
    <w:rsid w:val="007D7526"/>
    <w:rsid w:val="007E4610"/>
    <w:rsid w:val="007E4715"/>
    <w:rsid w:val="007E505B"/>
    <w:rsid w:val="007E7091"/>
    <w:rsid w:val="007F57D3"/>
    <w:rsid w:val="007F57E5"/>
    <w:rsid w:val="007F5A0E"/>
    <w:rsid w:val="007F75D5"/>
    <w:rsid w:val="00801F72"/>
    <w:rsid w:val="00803FAE"/>
    <w:rsid w:val="0080605F"/>
    <w:rsid w:val="00807115"/>
    <w:rsid w:val="00807786"/>
    <w:rsid w:val="00811FCB"/>
    <w:rsid w:val="008158D6"/>
    <w:rsid w:val="00817196"/>
    <w:rsid w:val="00817638"/>
    <w:rsid w:val="008235DB"/>
    <w:rsid w:val="0082432A"/>
    <w:rsid w:val="00824AB4"/>
    <w:rsid w:val="00825C42"/>
    <w:rsid w:val="00825D25"/>
    <w:rsid w:val="00827D6F"/>
    <w:rsid w:val="008376AC"/>
    <w:rsid w:val="008416F1"/>
    <w:rsid w:val="00841AFF"/>
    <w:rsid w:val="008444E8"/>
    <w:rsid w:val="00844E80"/>
    <w:rsid w:val="008462C4"/>
    <w:rsid w:val="00846FE7"/>
    <w:rsid w:val="008526BF"/>
    <w:rsid w:val="00854D5C"/>
    <w:rsid w:val="00856911"/>
    <w:rsid w:val="0085744E"/>
    <w:rsid w:val="0086479A"/>
    <w:rsid w:val="008664DB"/>
    <w:rsid w:val="00867340"/>
    <w:rsid w:val="008677FD"/>
    <w:rsid w:val="008706D4"/>
    <w:rsid w:val="00870F8A"/>
    <w:rsid w:val="008719A4"/>
    <w:rsid w:val="00871D23"/>
    <w:rsid w:val="00874312"/>
    <w:rsid w:val="0087437C"/>
    <w:rsid w:val="00875CD7"/>
    <w:rsid w:val="00876B4D"/>
    <w:rsid w:val="00877F18"/>
    <w:rsid w:val="008802BC"/>
    <w:rsid w:val="00894A88"/>
    <w:rsid w:val="00895386"/>
    <w:rsid w:val="008A21FF"/>
    <w:rsid w:val="008A2CE2"/>
    <w:rsid w:val="008A30AC"/>
    <w:rsid w:val="008A44B8"/>
    <w:rsid w:val="008A45DB"/>
    <w:rsid w:val="008A51A8"/>
    <w:rsid w:val="008A54C7"/>
    <w:rsid w:val="008A77D8"/>
    <w:rsid w:val="008A7A6A"/>
    <w:rsid w:val="008B0483"/>
    <w:rsid w:val="008B120C"/>
    <w:rsid w:val="008B51A0"/>
    <w:rsid w:val="008B592A"/>
    <w:rsid w:val="008B7B5C"/>
    <w:rsid w:val="008B7EDE"/>
    <w:rsid w:val="008C0C99"/>
    <w:rsid w:val="008C2017"/>
    <w:rsid w:val="008C4958"/>
    <w:rsid w:val="008C4BAA"/>
    <w:rsid w:val="008C6AE8"/>
    <w:rsid w:val="008C7573"/>
    <w:rsid w:val="008C7F7E"/>
    <w:rsid w:val="008D0C8B"/>
    <w:rsid w:val="008D34F1"/>
    <w:rsid w:val="008D3741"/>
    <w:rsid w:val="008D39D8"/>
    <w:rsid w:val="008D6D1A"/>
    <w:rsid w:val="008E065E"/>
    <w:rsid w:val="008E0927"/>
    <w:rsid w:val="008E1909"/>
    <w:rsid w:val="008E2073"/>
    <w:rsid w:val="008E34CC"/>
    <w:rsid w:val="008E35B9"/>
    <w:rsid w:val="008E5EFD"/>
    <w:rsid w:val="008E6BCF"/>
    <w:rsid w:val="008E7B62"/>
    <w:rsid w:val="008F1EAB"/>
    <w:rsid w:val="008F33DC"/>
    <w:rsid w:val="008F477F"/>
    <w:rsid w:val="00902350"/>
    <w:rsid w:val="0090336B"/>
    <w:rsid w:val="00903C11"/>
    <w:rsid w:val="009048B9"/>
    <w:rsid w:val="009053AA"/>
    <w:rsid w:val="00906939"/>
    <w:rsid w:val="00910B7D"/>
    <w:rsid w:val="00910F9C"/>
    <w:rsid w:val="00911DFB"/>
    <w:rsid w:val="009139D9"/>
    <w:rsid w:val="00914AD8"/>
    <w:rsid w:val="00916079"/>
    <w:rsid w:val="00917CE9"/>
    <w:rsid w:val="00920BF2"/>
    <w:rsid w:val="00922010"/>
    <w:rsid w:val="00931BD9"/>
    <w:rsid w:val="00935739"/>
    <w:rsid w:val="009368F3"/>
    <w:rsid w:val="00941636"/>
    <w:rsid w:val="00943742"/>
    <w:rsid w:val="0094385C"/>
    <w:rsid w:val="00945C05"/>
    <w:rsid w:val="00945F2D"/>
    <w:rsid w:val="00946945"/>
    <w:rsid w:val="00947713"/>
    <w:rsid w:val="00950DE7"/>
    <w:rsid w:val="009516A3"/>
    <w:rsid w:val="00952A24"/>
    <w:rsid w:val="00953920"/>
    <w:rsid w:val="00953D47"/>
    <w:rsid w:val="0095681E"/>
    <w:rsid w:val="009572D4"/>
    <w:rsid w:val="00957CFF"/>
    <w:rsid w:val="00960866"/>
    <w:rsid w:val="00961921"/>
    <w:rsid w:val="00962F07"/>
    <w:rsid w:val="00963D86"/>
    <w:rsid w:val="0096430A"/>
    <w:rsid w:val="0096554B"/>
    <w:rsid w:val="0096584A"/>
    <w:rsid w:val="00971F08"/>
    <w:rsid w:val="00973448"/>
    <w:rsid w:val="0097603D"/>
    <w:rsid w:val="00976949"/>
    <w:rsid w:val="00976B9C"/>
    <w:rsid w:val="00980477"/>
    <w:rsid w:val="009806BD"/>
    <w:rsid w:val="00980BCF"/>
    <w:rsid w:val="00985253"/>
    <w:rsid w:val="009853B3"/>
    <w:rsid w:val="00985BFD"/>
    <w:rsid w:val="00990630"/>
    <w:rsid w:val="009914C1"/>
    <w:rsid w:val="00991761"/>
    <w:rsid w:val="009936B5"/>
    <w:rsid w:val="00993CD0"/>
    <w:rsid w:val="00994DCA"/>
    <w:rsid w:val="009960EC"/>
    <w:rsid w:val="009970DD"/>
    <w:rsid w:val="00997CB2"/>
    <w:rsid w:val="009A0FBA"/>
    <w:rsid w:val="009A1601"/>
    <w:rsid w:val="009A18A7"/>
    <w:rsid w:val="009A3E87"/>
    <w:rsid w:val="009A462D"/>
    <w:rsid w:val="009A5CBA"/>
    <w:rsid w:val="009B1F30"/>
    <w:rsid w:val="009B3AC2"/>
    <w:rsid w:val="009B4DF4"/>
    <w:rsid w:val="009B564E"/>
    <w:rsid w:val="009B7E87"/>
    <w:rsid w:val="009C0E61"/>
    <w:rsid w:val="009C403E"/>
    <w:rsid w:val="009C6832"/>
    <w:rsid w:val="009D0465"/>
    <w:rsid w:val="009D4FF0"/>
    <w:rsid w:val="009D703C"/>
    <w:rsid w:val="009D718F"/>
    <w:rsid w:val="009E068F"/>
    <w:rsid w:val="009E14E0"/>
    <w:rsid w:val="009E1819"/>
    <w:rsid w:val="009E35DB"/>
    <w:rsid w:val="009E47A3"/>
    <w:rsid w:val="009F08F3"/>
    <w:rsid w:val="009F221A"/>
    <w:rsid w:val="009F24D2"/>
    <w:rsid w:val="009F344F"/>
    <w:rsid w:val="009F79EA"/>
    <w:rsid w:val="00A01B8D"/>
    <w:rsid w:val="00A031D8"/>
    <w:rsid w:val="00A048A8"/>
    <w:rsid w:val="00A04F49"/>
    <w:rsid w:val="00A068CE"/>
    <w:rsid w:val="00A13E54"/>
    <w:rsid w:val="00A1491F"/>
    <w:rsid w:val="00A15745"/>
    <w:rsid w:val="00A15DEF"/>
    <w:rsid w:val="00A17F63"/>
    <w:rsid w:val="00A2193B"/>
    <w:rsid w:val="00A2351A"/>
    <w:rsid w:val="00A26150"/>
    <w:rsid w:val="00A264A9"/>
    <w:rsid w:val="00A27681"/>
    <w:rsid w:val="00A27785"/>
    <w:rsid w:val="00A30187"/>
    <w:rsid w:val="00A31306"/>
    <w:rsid w:val="00A3448A"/>
    <w:rsid w:val="00A36297"/>
    <w:rsid w:val="00A41E2B"/>
    <w:rsid w:val="00A45B74"/>
    <w:rsid w:val="00A46B7A"/>
    <w:rsid w:val="00A46C83"/>
    <w:rsid w:val="00A47102"/>
    <w:rsid w:val="00A50493"/>
    <w:rsid w:val="00A52E1D"/>
    <w:rsid w:val="00A60D68"/>
    <w:rsid w:val="00A61499"/>
    <w:rsid w:val="00A61AE3"/>
    <w:rsid w:val="00A62A77"/>
    <w:rsid w:val="00A63483"/>
    <w:rsid w:val="00A63899"/>
    <w:rsid w:val="00A657D7"/>
    <w:rsid w:val="00A660AC"/>
    <w:rsid w:val="00A66AC4"/>
    <w:rsid w:val="00A67E6C"/>
    <w:rsid w:val="00A71B99"/>
    <w:rsid w:val="00A739D0"/>
    <w:rsid w:val="00A7450D"/>
    <w:rsid w:val="00A74EAE"/>
    <w:rsid w:val="00A7572A"/>
    <w:rsid w:val="00A761D4"/>
    <w:rsid w:val="00A77EC4"/>
    <w:rsid w:val="00A8265E"/>
    <w:rsid w:val="00A82E3A"/>
    <w:rsid w:val="00A85C6C"/>
    <w:rsid w:val="00A85EF6"/>
    <w:rsid w:val="00A86E7D"/>
    <w:rsid w:val="00A92879"/>
    <w:rsid w:val="00A9442A"/>
    <w:rsid w:val="00AA016F"/>
    <w:rsid w:val="00AA1ED6"/>
    <w:rsid w:val="00AA51D6"/>
    <w:rsid w:val="00AA662E"/>
    <w:rsid w:val="00AA79D1"/>
    <w:rsid w:val="00AB0BC8"/>
    <w:rsid w:val="00AB11CA"/>
    <w:rsid w:val="00AB14D9"/>
    <w:rsid w:val="00AB4AB8"/>
    <w:rsid w:val="00AB655E"/>
    <w:rsid w:val="00AC007F"/>
    <w:rsid w:val="00AC0647"/>
    <w:rsid w:val="00AC2ECD"/>
    <w:rsid w:val="00AC3119"/>
    <w:rsid w:val="00AC49FB"/>
    <w:rsid w:val="00AC5A10"/>
    <w:rsid w:val="00AC7056"/>
    <w:rsid w:val="00AC7789"/>
    <w:rsid w:val="00AD077D"/>
    <w:rsid w:val="00AD0AA3"/>
    <w:rsid w:val="00AD3D5D"/>
    <w:rsid w:val="00AD3F94"/>
    <w:rsid w:val="00AD4A5A"/>
    <w:rsid w:val="00AE27AC"/>
    <w:rsid w:val="00AE2FEB"/>
    <w:rsid w:val="00AE3FAC"/>
    <w:rsid w:val="00AE40E0"/>
    <w:rsid w:val="00AE4DBA"/>
    <w:rsid w:val="00AE4F07"/>
    <w:rsid w:val="00AE6F47"/>
    <w:rsid w:val="00AF1C5D"/>
    <w:rsid w:val="00AF42D7"/>
    <w:rsid w:val="00B006FE"/>
    <w:rsid w:val="00B007CB"/>
    <w:rsid w:val="00B02AA9"/>
    <w:rsid w:val="00B02FA3"/>
    <w:rsid w:val="00B03374"/>
    <w:rsid w:val="00B05084"/>
    <w:rsid w:val="00B05274"/>
    <w:rsid w:val="00B05F83"/>
    <w:rsid w:val="00B12BC0"/>
    <w:rsid w:val="00B136EB"/>
    <w:rsid w:val="00B157F9"/>
    <w:rsid w:val="00B1761D"/>
    <w:rsid w:val="00B20256"/>
    <w:rsid w:val="00B20D09"/>
    <w:rsid w:val="00B25940"/>
    <w:rsid w:val="00B25B14"/>
    <w:rsid w:val="00B2763F"/>
    <w:rsid w:val="00B277F0"/>
    <w:rsid w:val="00B27AAC"/>
    <w:rsid w:val="00B30929"/>
    <w:rsid w:val="00B330F7"/>
    <w:rsid w:val="00B355EB"/>
    <w:rsid w:val="00B372AA"/>
    <w:rsid w:val="00B40445"/>
    <w:rsid w:val="00B41888"/>
    <w:rsid w:val="00B45A52"/>
    <w:rsid w:val="00B46175"/>
    <w:rsid w:val="00B4682A"/>
    <w:rsid w:val="00B47284"/>
    <w:rsid w:val="00B55DE4"/>
    <w:rsid w:val="00B664C7"/>
    <w:rsid w:val="00B739F6"/>
    <w:rsid w:val="00B7667B"/>
    <w:rsid w:val="00B77C5E"/>
    <w:rsid w:val="00B81660"/>
    <w:rsid w:val="00B81A6C"/>
    <w:rsid w:val="00B85DE5"/>
    <w:rsid w:val="00B87BB5"/>
    <w:rsid w:val="00B90F73"/>
    <w:rsid w:val="00B92DA5"/>
    <w:rsid w:val="00B93B59"/>
    <w:rsid w:val="00B93ECE"/>
    <w:rsid w:val="00B9406A"/>
    <w:rsid w:val="00BA1168"/>
    <w:rsid w:val="00BA2280"/>
    <w:rsid w:val="00BA2A08"/>
    <w:rsid w:val="00BA3593"/>
    <w:rsid w:val="00BA56D2"/>
    <w:rsid w:val="00BA76E0"/>
    <w:rsid w:val="00BB2A25"/>
    <w:rsid w:val="00BB3C67"/>
    <w:rsid w:val="00BB51E9"/>
    <w:rsid w:val="00BC0FDC"/>
    <w:rsid w:val="00BC3053"/>
    <w:rsid w:val="00BC4D2E"/>
    <w:rsid w:val="00BD48AC"/>
    <w:rsid w:val="00BD5F1A"/>
    <w:rsid w:val="00BE1234"/>
    <w:rsid w:val="00BE2FA6"/>
    <w:rsid w:val="00BE333F"/>
    <w:rsid w:val="00BE5EBB"/>
    <w:rsid w:val="00BE7406"/>
    <w:rsid w:val="00BE7603"/>
    <w:rsid w:val="00BF3279"/>
    <w:rsid w:val="00BF5ED6"/>
    <w:rsid w:val="00BF6FAB"/>
    <w:rsid w:val="00BF74C7"/>
    <w:rsid w:val="00BF7642"/>
    <w:rsid w:val="00C0102B"/>
    <w:rsid w:val="00C015F1"/>
    <w:rsid w:val="00C01CA6"/>
    <w:rsid w:val="00C01F33"/>
    <w:rsid w:val="00C02A4C"/>
    <w:rsid w:val="00C02CC6"/>
    <w:rsid w:val="00C033FB"/>
    <w:rsid w:val="00C040F7"/>
    <w:rsid w:val="00C044AB"/>
    <w:rsid w:val="00C04622"/>
    <w:rsid w:val="00C05706"/>
    <w:rsid w:val="00C07377"/>
    <w:rsid w:val="00C10478"/>
    <w:rsid w:val="00C11726"/>
    <w:rsid w:val="00C12107"/>
    <w:rsid w:val="00C130EE"/>
    <w:rsid w:val="00C14D4B"/>
    <w:rsid w:val="00C154BB"/>
    <w:rsid w:val="00C22FB5"/>
    <w:rsid w:val="00C279B5"/>
    <w:rsid w:val="00C27C45"/>
    <w:rsid w:val="00C33047"/>
    <w:rsid w:val="00C3719D"/>
    <w:rsid w:val="00C47CB2"/>
    <w:rsid w:val="00C5301F"/>
    <w:rsid w:val="00C54995"/>
    <w:rsid w:val="00C54D41"/>
    <w:rsid w:val="00C60783"/>
    <w:rsid w:val="00C64002"/>
    <w:rsid w:val="00C64672"/>
    <w:rsid w:val="00C70697"/>
    <w:rsid w:val="00C70A68"/>
    <w:rsid w:val="00C72EF4"/>
    <w:rsid w:val="00C75D2F"/>
    <w:rsid w:val="00C767BE"/>
    <w:rsid w:val="00C76E3C"/>
    <w:rsid w:val="00C81568"/>
    <w:rsid w:val="00C8502D"/>
    <w:rsid w:val="00C85D6E"/>
    <w:rsid w:val="00C8609E"/>
    <w:rsid w:val="00C878BE"/>
    <w:rsid w:val="00C9027A"/>
    <w:rsid w:val="00C9068E"/>
    <w:rsid w:val="00C923AD"/>
    <w:rsid w:val="00C93C4B"/>
    <w:rsid w:val="00C944AB"/>
    <w:rsid w:val="00C95B40"/>
    <w:rsid w:val="00CA1068"/>
    <w:rsid w:val="00CA1ED8"/>
    <w:rsid w:val="00CA2417"/>
    <w:rsid w:val="00CA2DB3"/>
    <w:rsid w:val="00CB1DFB"/>
    <w:rsid w:val="00CB1F63"/>
    <w:rsid w:val="00CB471D"/>
    <w:rsid w:val="00CB5115"/>
    <w:rsid w:val="00CB7170"/>
    <w:rsid w:val="00CC040E"/>
    <w:rsid w:val="00CC111F"/>
    <w:rsid w:val="00CC2011"/>
    <w:rsid w:val="00CC3EA0"/>
    <w:rsid w:val="00CC7B45"/>
    <w:rsid w:val="00CD1188"/>
    <w:rsid w:val="00CD2ED1"/>
    <w:rsid w:val="00CD337B"/>
    <w:rsid w:val="00CD7E64"/>
    <w:rsid w:val="00CE0424"/>
    <w:rsid w:val="00CE3F12"/>
    <w:rsid w:val="00CE6BB5"/>
    <w:rsid w:val="00CE7561"/>
    <w:rsid w:val="00CF1354"/>
    <w:rsid w:val="00CF3B1F"/>
    <w:rsid w:val="00CF3BF6"/>
    <w:rsid w:val="00CF625B"/>
    <w:rsid w:val="00CF687E"/>
    <w:rsid w:val="00D0349B"/>
    <w:rsid w:val="00D10249"/>
    <w:rsid w:val="00D115C3"/>
    <w:rsid w:val="00D11897"/>
    <w:rsid w:val="00D118B2"/>
    <w:rsid w:val="00D11D03"/>
    <w:rsid w:val="00D13135"/>
    <w:rsid w:val="00D13E4E"/>
    <w:rsid w:val="00D1771D"/>
    <w:rsid w:val="00D17ACF"/>
    <w:rsid w:val="00D239A7"/>
    <w:rsid w:val="00D23F47"/>
    <w:rsid w:val="00D33332"/>
    <w:rsid w:val="00D36E71"/>
    <w:rsid w:val="00D37D87"/>
    <w:rsid w:val="00D40B33"/>
    <w:rsid w:val="00D4318F"/>
    <w:rsid w:val="00D438BF"/>
    <w:rsid w:val="00D440F8"/>
    <w:rsid w:val="00D45123"/>
    <w:rsid w:val="00D51914"/>
    <w:rsid w:val="00D546FF"/>
    <w:rsid w:val="00D55AD5"/>
    <w:rsid w:val="00D573F8"/>
    <w:rsid w:val="00D576CA"/>
    <w:rsid w:val="00D61AF5"/>
    <w:rsid w:val="00D652B5"/>
    <w:rsid w:val="00D66155"/>
    <w:rsid w:val="00D708B0"/>
    <w:rsid w:val="00D75F7D"/>
    <w:rsid w:val="00D76D21"/>
    <w:rsid w:val="00D77B1D"/>
    <w:rsid w:val="00D80074"/>
    <w:rsid w:val="00D8021F"/>
    <w:rsid w:val="00D80383"/>
    <w:rsid w:val="00D823C6"/>
    <w:rsid w:val="00D8337F"/>
    <w:rsid w:val="00D83EAD"/>
    <w:rsid w:val="00D86027"/>
    <w:rsid w:val="00D86CA3"/>
    <w:rsid w:val="00D871CE"/>
    <w:rsid w:val="00D9196D"/>
    <w:rsid w:val="00D92982"/>
    <w:rsid w:val="00DA1C59"/>
    <w:rsid w:val="00DA305E"/>
    <w:rsid w:val="00DA5417"/>
    <w:rsid w:val="00DA56E8"/>
    <w:rsid w:val="00DB029B"/>
    <w:rsid w:val="00DB0A9F"/>
    <w:rsid w:val="00DB377D"/>
    <w:rsid w:val="00DB587B"/>
    <w:rsid w:val="00DC284E"/>
    <w:rsid w:val="00DC2D36"/>
    <w:rsid w:val="00DC53EF"/>
    <w:rsid w:val="00DC7B2C"/>
    <w:rsid w:val="00DD21B3"/>
    <w:rsid w:val="00DD39D9"/>
    <w:rsid w:val="00DE25A1"/>
    <w:rsid w:val="00DE36F2"/>
    <w:rsid w:val="00DE5608"/>
    <w:rsid w:val="00DE58D0"/>
    <w:rsid w:val="00DE654F"/>
    <w:rsid w:val="00DF0B6E"/>
    <w:rsid w:val="00DF0C7E"/>
    <w:rsid w:val="00DF15E0"/>
    <w:rsid w:val="00DF37A0"/>
    <w:rsid w:val="00DF52B6"/>
    <w:rsid w:val="00E07FA1"/>
    <w:rsid w:val="00E10A94"/>
    <w:rsid w:val="00E110E7"/>
    <w:rsid w:val="00E111B7"/>
    <w:rsid w:val="00E11B20"/>
    <w:rsid w:val="00E130A7"/>
    <w:rsid w:val="00E17FA2"/>
    <w:rsid w:val="00E22330"/>
    <w:rsid w:val="00E22E69"/>
    <w:rsid w:val="00E276BD"/>
    <w:rsid w:val="00E30B5A"/>
    <w:rsid w:val="00E3123D"/>
    <w:rsid w:val="00E31461"/>
    <w:rsid w:val="00E31D43"/>
    <w:rsid w:val="00E32608"/>
    <w:rsid w:val="00E34188"/>
    <w:rsid w:val="00E34B6E"/>
    <w:rsid w:val="00E35559"/>
    <w:rsid w:val="00E3723A"/>
    <w:rsid w:val="00E37860"/>
    <w:rsid w:val="00E41AAB"/>
    <w:rsid w:val="00E446F1"/>
    <w:rsid w:val="00E4546A"/>
    <w:rsid w:val="00E46886"/>
    <w:rsid w:val="00E47AEF"/>
    <w:rsid w:val="00E509CE"/>
    <w:rsid w:val="00E53B75"/>
    <w:rsid w:val="00E54E3B"/>
    <w:rsid w:val="00E5689D"/>
    <w:rsid w:val="00E57565"/>
    <w:rsid w:val="00E63838"/>
    <w:rsid w:val="00E64434"/>
    <w:rsid w:val="00E65010"/>
    <w:rsid w:val="00E6620C"/>
    <w:rsid w:val="00E66FAF"/>
    <w:rsid w:val="00E67C51"/>
    <w:rsid w:val="00E72EFC"/>
    <w:rsid w:val="00E758EC"/>
    <w:rsid w:val="00E80165"/>
    <w:rsid w:val="00E81E57"/>
    <w:rsid w:val="00E820C5"/>
    <w:rsid w:val="00E8234C"/>
    <w:rsid w:val="00E83AA9"/>
    <w:rsid w:val="00E85928"/>
    <w:rsid w:val="00E87822"/>
    <w:rsid w:val="00E90395"/>
    <w:rsid w:val="00E906F7"/>
    <w:rsid w:val="00E90A30"/>
    <w:rsid w:val="00E90E49"/>
    <w:rsid w:val="00E917F9"/>
    <w:rsid w:val="00E91EA3"/>
    <w:rsid w:val="00E9291C"/>
    <w:rsid w:val="00E92CEB"/>
    <w:rsid w:val="00E93FFE"/>
    <w:rsid w:val="00E94F8A"/>
    <w:rsid w:val="00E96D89"/>
    <w:rsid w:val="00EA4B16"/>
    <w:rsid w:val="00EA7A41"/>
    <w:rsid w:val="00EA7EE8"/>
    <w:rsid w:val="00EB077B"/>
    <w:rsid w:val="00EB4EA2"/>
    <w:rsid w:val="00EC06B7"/>
    <w:rsid w:val="00EC114D"/>
    <w:rsid w:val="00EC27C6"/>
    <w:rsid w:val="00EC4207"/>
    <w:rsid w:val="00EC5653"/>
    <w:rsid w:val="00EC676C"/>
    <w:rsid w:val="00EC71CE"/>
    <w:rsid w:val="00EC77A7"/>
    <w:rsid w:val="00ED1006"/>
    <w:rsid w:val="00ED4F50"/>
    <w:rsid w:val="00ED73FE"/>
    <w:rsid w:val="00EE2904"/>
    <w:rsid w:val="00EE59C8"/>
    <w:rsid w:val="00EE6900"/>
    <w:rsid w:val="00EF18FE"/>
    <w:rsid w:val="00EF3CC4"/>
    <w:rsid w:val="00EF5787"/>
    <w:rsid w:val="00EF60D0"/>
    <w:rsid w:val="00F0528D"/>
    <w:rsid w:val="00F053FD"/>
    <w:rsid w:val="00F06C67"/>
    <w:rsid w:val="00F06DFD"/>
    <w:rsid w:val="00F06F2F"/>
    <w:rsid w:val="00F071D1"/>
    <w:rsid w:val="00F07533"/>
    <w:rsid w:val="00F07A4C"/>
    <w:rsid w:val="00F10629"/>
    <w:rsid w:val="00F1460F"/>
    <w:rsid w:val="00F15279"/>
    <w:rsid w:val="00F15BF9"/>
    <w:rsid w:val="00F15FA5"/>
    <w:rsid w:val="00F209B7"/>
    <w:rsid w:val="00F2376F"/>
    <w:rsid w:val="00F243D8"/>
    <w:rsid w:val="00F30828"/>
    <w:rsid w:val="00F313D6"/>
    <w:rsid w:val="00F40F0C"/>
    <w:rsid w:val="00F4404C"/>
    <w:rsid w:val="00F4766C"/>
    <w:rsid w:val="00F5004F"/>
    <w:rsid w:val="00F5060E"/>
    <w:rsid w:val="00F507D1"/>
    <w:rsid w:val="00F519CE"/>
    <w:rsid w:val="00F51ADA"/>
    <w:rsid w:val="00F607C5"/>
    <w:rsid w:val="00F60DEA"/>
    <w:rsid w:val="00F619FA"/>
    <w:rsid w:val="00F6302A"/>
    <w:rsid w:val="00F638BE"/>
    <w:rsid w:val="00F64C2B"/>
    <w:rsid w:val="00F651BE"/>
    <w:rsid w:val="00F67F53"/>
    <w:rsid w:val="00F703BE"/>
    <w:rsid w:val="00F71344"/>
    <w:rsid w:val="00F71C3C"/>
    <w:rsid w:val="00F71F69"/>
    <w:rsid w:val="00F72B72"/>
    <w:rsid w:val="00F74BB9"/>
    <w:rsid w:val="00F75582"/>
    <w:rsid w:val="00F76EFA"/>
    <w:rsid w:val="00F804BE"/>
    <w:rsid w:val="00F81624"/>
    <w:rsid w:val="00F817CE"/>
    <w:rsid w:val="00F82D17"/>
    <w:rsid w:val="00F8456C"/>
    <w:rsid w:val="00F855E8"/>
    <w:rsid w:val="00F859D8"/>
    <w:rsid w:val="00F868F5"/>
    <w:rsid w:val="00F9056A"/>
    <w:rsid w:val="00F9089E"/>
    <w:rsid w:val="00F90F8D"/>
    <w:rsid w:val="00F92782"/>
    <w:rsid w:val="00F93AA9"/>
    <w:rsid w:val="00F96985"/>
    <w:rsid w:val="00F96F68"/>
    <w:rsid w:val="00F97838"/>
    <w:rsid w:val="00FA2BB3"/>
    <w:rsid w:val="00FA31CC"/>
    <w:rsid w:val="00FB4C80"/>
    <w:rsid w:val="00FB543A"/>
    <w:rsid w:val="00FB5D36"/>
    <w:rsid w:val="00FB64B5"/>
    <w:rsid w:val="00FB6A6A"/>
    <w:rsid w:val="00FC5B8A"/>
    <w:rsid w:val="00FC7429"/>
    <w:rsid w:val="00FC7AAE"/>
    <w:rsid w:val="00FD07F6"/>
    <w:rsid w:val="00FD1EC8"/>
    <w:rsid w:val="00FD47ED"/>
    <w:rsid w:val="00FD74DB"/>
    <w:rsid w:val="00FD7660"/>
    <w:rsid w:val="00FE0655"/>
    <w:rsid w:val="00FE2365"/>
    <w:rsid w:val="00FE37D7"/>
    <w:rsid w:val="00FE4C7B"/>
    <w:rsid w:val="00FE53CF"/>
    <w:rsid w:val="00FE6111"/>
    <w:rsid w:val="00FE6FC7"/>
    <w:rsid w:val="00FE7336"/>
    <w:rsid w:val="00FE787C"/>
    <w:rsid w:val="00FF1706"/>
    <w:rsid w:val="00FF45A5"/>
    <w:rsid w:val="00FF5AC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99"/>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jc w:val="left"/>
    </w:pPr>
    <w:rPr>
      <w:sz w:val="18"/>
      <w:lang w:eastAsia="en-US"/>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styleId="PlaceholderText">
    <w:name w:val="Placeholder Text"/>
    <w:basedOn w:val="DefaultParagraphFont"/>
    <w:uiPriority w:val="99"/>
    <w:semiHidden/>
    <w:rsid w:val="00DE36F2"/>
    <w:rPr>
      <w:color w:val="808080"/>
    </w:rPr>
  </w:style>
  <w:style w:type="character" w:customStyle="1" w:styleId="CaptionChar1">
    <w:name w:val="Caption Char1"/>
    <w:aliases w:val="cap Char1,cap Char Char,Caption Char Char,Caption Char1 Char Char,cap Char Char1 Char,Caption Char Char1 Char Char,cap Char2 Char"/>
    <w:link w:val="Caption"/>
    <w:uiPriority w:val="99"/>
    <w:rsid w:val="0060240E"/>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EDF21-5ED4-44EF-8B29-74C8CB2F1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1751</Words>
  <Characters>9312</Characters>
  <Application>Microsoft Office Word</Application>
  <DocSecurity>0</DocSecurity>
  <Lines>77</Lines>
  <Paragraphs>22</Paragraphs>
  <ScaleCrop>false</ScaleCrop>
  <Company/>
  <LinksUpToDate>false</LinksUpToDate>
  <CharactersWithSpaces>11041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2017-08-11T11:05:00Z</dcterms:created>
  <dcterms:modified xsi:type="dcterms:W3CDTF">2017-08-11T11:05:00Z</dcterms:modified>
</cp:coreProperties>
</file>